
<file path=[Content_Types].xml><?xml version="1.0" encoding="utf-8"?>
<Types xmlns="http://schemas.openxmlformats.org/package/2006/content-types">
  <Override PartName="/word/document.xml" ContentType="application/vnd.openxmlformats-officedocument.wordprocessingml.document.main+xml"/>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Default Extension="xml" ContentType="application/xml"/>
  <Override PartName="/customXml/itemProps1.xml" ContentType="application/vnd.openxmlformats-officedocument.customXmlProperties+xml"/>
  <Override PartName="/word/webSettings.xml" ContentType="application/vnd.openxmlformats-officedocument.wordprocessingml.webSettings+xml"/>
  <Override PartName="/word/theme/theme1.xml" ContentType="application/vnd.openxmlformats-officedocument.theme+xml"/>
  <Override PartName="/word/endnotes.xml" ContentType="application/vnd.openxmlformats-officedocument.wordprocessingml.endnotes+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5640" w:rsidRPr="00576EE5" w:rsidRDefault="00C620A3" w:rsidP="00C620A3">
      <w:pPr>
        <w:spacing w:after="0" w:line="240" w:lineRule="auto"/>
        <w:rPr>
          <w:rFonts w:cstheme="minorHAnsi"/>
        </w:rPr>
      </w:pPr>
      <w:r w:rsidRPr="00576EE5">
        <w:rPr>
          <w:rFonts w:cstheme="minorHAnsi"/>
        </w:rPr>
        <w:t>Joanna Hamilton</w:t>
      </w:r>
    </w:p>
    <w:p w:rsidR="00C620A3" w:rsidRPr="00576EE5" w:rsidRDefault="00C620A3" w:rsidP="00C620A3">
      <w:pPr>
        <w:spacing w:after="0" w:line="240" w:lineRule="auto"/>
        <w:rPr>
          <w:rFonts w:cstheme="minorHAnsi"/>
        </w:rPr>
      </w:pPr>
      <w:r w:rsidRPr="00576EE5">
        <w:rPr>
          <w:rFonts w:cstheme="minorHAnsi"/>
        </w:rPr>
        <w:t>UEP 232: Intro to GIS</w:t>
      </w:r>
    </w:p>
    <w:p w:rsidR="00C620A3" w:rsidRPr="00576EE5" w:rsidRDefault="00C620A3" w:rsidP="00C620A3">
      <w:pPr>
        <w:spacing w:after="0" w:line="240" w:lineRule="auto"/>
        <w:rPr>
          <w:rFonts w:cstheme="minorHAnsi"/>
        </w:rPr>
      </w:pPr>
      <w:r w:rsidRPr="00576EE5">
        <w:rPr>
          <w:rFonts w:cstheme="minorHAnsi"/>
        </w:rPr>
        <w:t>Final Paper</w:t>
      </w:r>
    </w:p>
    <w:p w:rsidR="00C620A3" w:rsidRPr="00576EE5" w:rsidRDefault="00C620A3" w:rsidP="00C620A3">
      <w:pPr>
        <w:spacing w:after="0" w:line="240" w:lineRule="auto"/>
        <w:rPr>
          <w:rFonts w:cstheme="minorHAnsi"/>
        </w:rPr>
      </w:pPr>
      <w:r w:rsidRPr="00576EE5">
        <w:rPr>
          <w:rFonts w:cstheme="minorHAnsi"/>
        </w:rPr>
        <w:t>May 9, 2012</w:t>
      </w:r>
    </w:p>
    <w:p w:rsidR="00C620A3" w:rsidRPr="00576EE5" w:rsidRDefault="00C620A3" w:rsidP="00C620A3">
      <w:pPr>
        <w:spacing w:after="0" w:line="240" w:lineRule="auto"/>
        <w:rPr>
          <w:rFonts w:cstheme="minorHAnsi"/>
        </w:rPr>
      </w:pPr>
    </w:p>
    <w:p w:rsidR="00C620A3" w:rsidRPr="00576EE5" w:rsidRDefault="00C620A3" w:rsidP="007A0F2C">
      <w:pPr>
        <w:spacing w:after="0" w:line="240" w:lineRule="auto"/>
        <w:jc w:val="center"/>
        <w:rPr>
          <w:rFonts w:cstheme="minorHAnsi"/>
          <w:b/>
        </w:rPr>
      </w:pPr>
      <w:r w:rsidRPr="00576EE5">
        <w:rPr>
          <w:rFonts w:cstheme="minorHAnsi"/>
          <w:b/>
        </w:rPr>
        <w:t>Food Hub Site Suitability</w:t>
      </w:r>
    </w:p>
    <w:p w:rsidR="00576EE5" w:rsidRPr="00576EE5" w:rsidRDefault="00576EE5" w:rsidP="00C620A3">
      <w:pPr>
        <w:spacing w:after="0" w:line="240" w:lineRule="auto"/>
        <w:rPr>
          <w:rFonts w:cstheme="minorHAnsi"/>
          <w:b/>
        </w:rPr>
      </w:pPr>
    </w:p>
    <w:p w:rsidR="00576EE5" w:rsidRPr="007A0F2C" w:rsidRDefault="00576EE5" w:rsidP="007A0F2C">
      <w:pPr>
        <w:pStyle w:val="ListParagraph"/>
        <w:numPr>
          <w:ilvl w:val="0"/>
          <w:numId w:val="1"/>
        </w:numPr>
        <w:spacing w:after="0" w:line="240" w:lineRule="auto"/>
        <w:ind w:left="360" w:hanging="360"/>
        <w:rPr>
          <w:rFonts w:cstheme="minorHAnsi"/>
          <w:b/>
        </w:rPr>
      </w:pPr>
      <w:r w:rsidRPr="007A0F2C">
        <w:rPr>
          <w:rFonts w:cstheme="minorHAnsi"/>
          <w:b/>
        </w:rPr>
        <w:t xml:space="preserve">Introduction: Food Systems and Food Hubs </w:t>
      </w:r>
    </w:p>
    <w:p w:rsidR="00576EE5" w:rsidRPr="00576EE5" w:rsidRDefault="00576EE5" w:rsidP="0014457B">
      <w:pPr>
        <w:spacing w:after="0"/>
        <w:ind w:firstLine="720"/>
        <w:rPr>
          <w:rFonts w:cstheme="minorHAnsi"/>
        </w:rPr>
      </w:pPr>
      <w:r w:rsidRPr="00576EE5">
        <w:rPr>
          <w:rFonts w:cstheme="minorHAnsi"/>
        </w:rPr>
        <w:t>The term food system is used to describe the complex set of activities involved in producing, processing, transporting, storing, selling, consuming, and disposing of food. It includes all of the infrastructure and processes needed to feed a population, as well as the inputs and outputs generated along this chain. The conventional food system through which we purchase and consume most of our food is known for providing consumers with convenient and affordable food. However, the structure of that system has many negative aspects, from its reliance on fossil fuels to the public health consequences of our abundant supply of cheap, processed foods and the relative scarcity and expense of fruits, vegetables, and other healthy foods.</w:t>
      </w:r>
      <w:r w:rsidR="00AB53C0">
        <w:rPr>
          <w:rStyle w:val="FootnoteReference"/>
          <w:rFonts w:cstheme="minorHAnsi"/>
        </w:rPr>
        <w:footnoteReference w:id="1"/>
      </w:r>
    </w:p>
    <w:p w:rsidR="00576EE5" w:rsidRDefault="00576EE5" w:rsidP="0014457B">
      <w:pPr>
        <w:spacing w:after="0"/>
        <w:ind w:firstLine="720"/>
        <w:rPr>
          <w:rFonts w:cstheme="minorHAnsi"/>
        </w:rPr>
      </w:pPr>
      <w:r w:rsidRPr="00576EE5">
        <w:rPr>
          <w:rFonts w:cstheme="minorHAnsi"/>
        </w:rPr>
        <w:t>There are growing movements in the U.S. and around the world to create healthier, alternative food systems; most of them focus on localizing the production and consumption of food. While these movements have been quite successful at increasing the supply of and demand for local food in many communities, they face problems making connections between producers and consumers.  Though farmers’ markets and other avenues for direct sales are important, they do not bring local food to the institutions from which we buy most of our food: restaurants and grocery stores.</w:t>
      </w:r>
      <w:r w:rsidR="00BC5173">
        <w:rPr>
          <w:rFonts w:cstheme="minorHAnsi"/>
        </w:rPr>
        <w:t xml:space="preserve"> </w:t>
      </w:r>
    </w:p>
    <w:p w:rsidR="002926D6" w:rsidRDefault="002926D6" w:rsidP="002926D6">
      <w:pPr>
        <w:spacing w:after="0" w:line="240" w:lineRule="auto"/>
        <w:rPr>
          <w:rFonts w:cstheme="minorHAnsi"/>
          <w:b/>
        </w:rPr>
      </w:pPr>
    </w:p>
    <w:p w:rsidR="002926D6" w:rsidRPr="007A0F2C" w:rsidRDefault="002926D6" w:rsidP="007A0F2C">
      <w:pPr>
        <w:pStyle w:val="ListParagraph"/>
        <w:numPr>
          <w:ilvl w:val="0"/>
          <w:numId w:val="1"/>
        </w:numPr>
        <w:spacing w:after="0" w:line="240" w:lineRule="auto"/>
        <w:ind w:left="360" w:hanging="360"/>
        <w:rPr>
          <w:rFonts w:cstheme="minorHAnsi"/>
          <w:b/>
        </w:rPr>
      </w:pPr>
      <w:r w:rsidRPr="007A0F2C">
        <w:rPr>
          <w:rFonts w:cstheme="minorHAnsi"/>
          <w:b/>
        </w:rPr>
        <w:t>Project Description</w:t>
      </w:r>
    </w:p>
    <w:p w:rsidR="00576EE5" w:rsidRDefault="00576EE5" w:rsidP="0014457B">
      <w:pPr>
        <w:spacing w:after="0"/>
        <w:ind w:firstLine="720"/>
        <w:rPr>
          <w:rFonts w:cstheme="minorHAnsi"/>
        </w:rPr>
      </w:pPr>
      <w:r w:rsidRPr="00576EE5">
        <w:rPr>
          <w:rFonts w:cstheme="minorHAnsi"/>
        </w:rPr>
        <w:t>One of the main obstacles that prevent growers from working with those institutions is the lack of scale-appropriate infrastructure. Food hubs</w:t>
      </w:r>
      <w:r w:rsidR="002926D6">
        <w:rPr>
          <w:rFonts w:cstheme="minorHAnsi"/>
        </w:rPr>
        <w:t>, the focus of this project and my thesis,</w:t>
      </w:r>
      <w:r w:rsidRPr="00576EE5">
        <w:rPr>
          <w:rFonts w:cstheme="minorHAnsi"/>
        </w:rPr>
        <w:t xml:space="preserve"> are organizations and businesses designed to fill those infrastructure gaps. They serve local and regional producers by “actively managing the aggregation, distribution, and marketing of source-identified food products... for the purpose of strengthening producer capacity and access to wholesale, retail, and institutional markets.”</w:t>
      </w:r>
      <w:r w:rsidR="00D046F0">
        <w:rPr>
          <w:rStyle w:val="FootnoteReference"/>
          <w:rFonts w:cstheme="minorHAnsi"/>
        </w:rPr>
        <w:footnoteReference w:id="2"/>
      </w:r>
      <w:r w:rsidRPr="00576EE5">
        <w:rPr>
          <w:rFonts w:cstheme="minorHAnsi"/>
        </w:rPr>
        <w:t xml:space="preserve"> The core services of each food hub will vary—some may aggregate and distribute food products packaged on-farm; others play the role of packing house by handling and preparing the food directly after harvest.  </w:t>
      </w:r>
    </w:p>
    <w:p w:rsidR="00E043F0" w:rsidRDefault="00BC5173" w:rsidP="0014457B">
      <w:pPr>
        <w:spacing w:after="0"/>
        <w:ind w:firstLine="720"/>
      </w:pPr>
      <w:r>
        <w:rPr>
          <w:rFonts w:cstheme="minorHAnsi"/>
        </w:rPr>
        <w:t xml:space="preserve">Drawing on the </w:t>
      </w:r>
      <w:r w:rsidR="00B660CB">
        <w:rPr>
          <w:rFonts w:cstheme="minorHAnsi"/>
        </w:rPr>
        <w:t>research methods of Lucy Myles (Tufts GIS Spring 2011), I examined a range of characteristics of</w:t>
      </w:r>
      <w:r w:rsidR="002926D6">
        <w:rPr>
          <w:rFonts w:cstheme="minorHAnsi"/>
        </w:rPr>
        <w:t xml:space="preserve"> the locations of 17</w:t>
      </w:r>
      <w:r w:rsidR="00D03322">
        <w:rPr>
          <w:rFonts w:cstheme="minorHAnsi"/>
        </w:rPr>
        <w:t>5</w:t>
      </w:r>
      <w:r w:rsidR="002926D6">
        <w:rPr>
          <w:rFonts w:cstheme="minorHAnsi"/>
        </w:rPr>
        <w:t xml:space="preserve"> f</w:t>
      </w:r>
      <w:r w:rsidR="00B660CB">
        <w:rPr>
          <w:rFonts w:cstheme="minorHAnsi"/>
        </w:rPr>
        <w:t>ood hub</w:t>
      </w:r>
      <w:r w:rsidR="002926D6">
        <w:rPr>
          <w:rFonts w:cstheme="minorHAnsi"/>
        </w:rPr>
        <w:t>s</w:t>
      </w:r>
      <w:r w:rsidR="00B660CB">
        <w:rPr>
          <w:rFonts w:cstheme="minorHAnsi"/>
        </w:rPr>
        <w:t xml:space="preserve"> and </w:t>
      </w:r>
      <w:r w:rsidR="00D02B33">
        <w:rPr>
          <w:rFonts w:cstheme="minorHAnsi"/>
        </w:rPr>
        <w:t>used that data to assess and rank counties based on their suitability</w:t>
      </w:r>
      <w:r w:rsidR="003672CB">
        <w:rPr>
          <w:rFonts w:cstheme="minorHAnsi"/>
        </w:rPr>
        <w:t xml:space="preserve"> for future food hub creation. </w:t>
      </w:r>
      <w:r w:rsidR="00576EE5" w:rsidRPr="00576EE5">
        <w:rPr>
          <w:rFonts w:cstheme="minorHAnsi"/>
        </w:rPr>
        <w:t xml:space="preserve">Because most USDA data is only available at the county level, that is </w:t>
      </w:r>
      <w:r w:rsidR="003672CB">
        <w:rPr>
          <w:rFonts w:cstheme="minorHAnsi"/>
        </w:rPr>
        <w:t xml:space="preserve">the main geographic unit I used. </w:t>
      </w:r>
      <w:r w:rsidR="003672CB">
        <w:t>I limited the project to</w:t>
      </w:r>
      <w:r w:rsidR="000C22D7">
        <w:t xml:space="preserve"> the continental United States; </w:t>
      </w:r>
      <w:r w:rsidR="003672CB">
        <w:t xml:space="preserve">Alaska, </w:t>
      </w:r>
      <w:r w:rsidR="000C22D7">
        <w:t xml:space="preserve">Hawaii, and island territories were excluded </w:t>
      </w:r>
      <w:r w:rsidR="003672CB">
        <w:t xml:space="preserve">because the </w:t>
      </w:r>
      <w:r w:rsidR="000C22D7">
        <w:t xml:space="preserve">local </w:t>
      </w:r>
      <w:r w:rsidR="003672CB">
        <w:t xml:space="preserve">food system infrastructure for those places is not directly related to the rest of the country. </w:t>
      </w:r>
    </w:p>
    <w:p w:rsidR="00E043F0" w:rsidRDefault="001F6F53" w:rsidP="0014457B">
      <w:pPr>
        <w:spacing w:after="0"/>
        <w:ind w:firstLine="720"/>
      </w:pPr>
      <w:r w:rsidRPr="00576EE5">
        <w:rPr>
          <w:rFonts w:cstheme="minorHAnsi"/>
        </w:rPr>
        <w:t>Just as with any business, starting and siting a food hub will be a c</w:t>
      </w:r>
      <w:r>
        <w:rPr>
          <w:rFonts w:cstheme="minorHAnsi"/>
        </w:rPr>
        <w:t>omplex, individualized process. However, a</w:t>
      </w:r>
      <w:r w:rsidR="00E043F0">
        <w:t xml:space="preserve">s infrastructure becomes a higher priority in food systems development, it will be important </w:t>
      </w:r>
      <w:r>
        <w:t xml:space="preserve">for food systems researchers, funders, and practitioners </w:t>
      </w:r>
      <w:r w:rsidR="00E043F0">
        <w:t xml:space="preserve">to understand </w:t>
      </w:r>
      <w:r>
        <w:t xml:space="preserve">as much as possible about current food hubs. This includes understanding the characteristics of their locations, and the areas of the country that are similar but do not yet contain food hubs. </w:t>
      </w:r>
    </w:p>
    <w:p w:rsidR="00576EE5" w:rsidRPr="00576EE5" w:rsidRDefault="00DA5305" w:rsidP="0014457B">
      <w:pPr>
        <w:widowControl w:val="0"/>
        <w:spacing w:after="0"/>
        <w:rPr>
          <w:rFonts w:cstheme="minorHAnsi"/>
        </w:rPr>
      </w:pPr>
      <w:r>
        <w:rPr>
          <w:rFonts w:cstheme="minorHAnsi"/>
        </w:rPr>
        <w:t xml:space="preserve">For my analysis </w:t>
      </w:r>
      <w:r w:rsidR="00576EE5" w:rsidRPr="00576EE5">
        <w:rPr>
          <w:rFonts w:cstheme="minorHAnsi"/>
        </w:rPr>
        <w:t>I chose 16 variables from the data sets and grouped them into four main crite</w:t>
      </w:r>
      <w:r w:rsidR="007A0F2C">
        <w:rPr>
          <w:rFonts w:cstheme="minorHAnsi"/>
        </w:rPr>
        <w:t xml:space="preserve">ria for assessing the counties. The specific variables, their data sources, and relevant years are listed </w:t>
      </w:r>
      <w:r w:rsidR="007A0F2C" w:rsidRPr="00175755">
        <w:rPr>
          <w:rFonts w:cstheme="minorHAnsi"/>
        </w:rPr>
        <w:t>in the table below.</w:t>
      </w:r>
      <w:r w:rsidR="007A0F2C">
        <w:rPr>
          <w:rFonts w:cstheme="minorHAnsi"/>
        </w:rPr>
        <w:t xml:space="preserve"> </w:t>
      </w:r>
    </w:p>
    <w:p w:rsidR="00576EE5" w:rsidRPr="00576EE5" w:rsidRDefault="00576EE5" w:rsidP="00DA5305">
      <w:pPr>
        <w:widowControl w:val="0"/>
        <w:spacing w:after="0"/>
        <w:ind w:firstLine="720"/>
        <w:rPr>
          <w:rFonts w:cstheme="minorHAnsi"/>
        </w:rPr>
      </w:pPr>
      <w:r w:rsidRPr="00576EE5">
        <w:rPr>
          <w:rFonts w:cstheme="minorHAnsi"/>
        </w:rPr>
        <w:t xml:space="preserve">For </w:t>
      </w:r>
      <w:r w:rsidRPr="00576EE5">
        <w:rPr>
          <w:rFonts w:cstheme="minorHAnsi"/>
          <w:b/>
          <w:bCs/>
        </w:rPr>
        <w:t xml:space="preserve">Market for Locally Grown Food </w:t>
      </w:r>
      <w:r w:rsidRPr="00576EE5">
        <w:rPr>
          <w:rFonts w:cstheme="minorHAnsi"/>
        </w:rPr>
        <w:t xml:space="preserve">in a county, I used 8 variables about direct sales, farmers’ markets, Farm to School and farms using Community Supported Agriculture models.  </w:t>
      </w:r>
    </w:p>
    <w:p w:rsidR="00576EE5" w:rsidRPr="00576EE5" w:rsidRDefault="00576EE5" w:rsidP="00DA5305">
      <w:pPr>
        <w:widowControl w:val="0"/>
        <w:spacing w:after="0"/>
        <w:ind w:firstLine="720"/>
        <w:rPr>
          <w:rFonts w:cstheme="minorHAnsi"/>
        </w:rPr>
      </w:pPr>
      <w:r w:rsidRPr="00576EE5">
        <w:rPr>
          <w:rFonts w:cstheme="minorHAnsi"/>
        </w:rPr>
        <w:t xml:space="preserve">To estimate the current </w:t>
      </w:r>
      <w:r w:rsidRPr="00576EE5">
        <w:rPr>
          <w:rFonts w:cstheme="minorHAnsi"/>
          <w:b/>
          <w:bCs/>
        </w:rPr>
        <w:t>Food Production</w:t>
      </w:r>
      <w:r w:rsidRPr="00576EE5">
        <w:rPr>
          <w:rFonts w:cstheme="minorHAnsi"/>
        </w:rPr>
        <w:t xml:space="preserve"> in a county, especially vegetable production that would require food hub services to be distributed locally, I used data on the amount of vegetable acres harvested, the market value of products sold from farms, and the percent of farms selling value-added commodities.  </w:t>
      </w:r>
    </w:p>
    <w:p w:rsidR="00576EE5" w:rsidRPr="00576EE5" w:rsidRDefault="00576EE5" w:rsidP="00DA5305">
      <w:pPr>
        <w:widowControl w:val="0"/>
        <w:spacing w:after="0"/>
        <w:ind w:firstLine="720"/>
        <w:rPr>
          <w:rFonts w:cstheme="minorHAnsi"/>
          <w:b/>
          <w:bCs/>
        </w:rPr>
      </w:pPr>
      <w:r w:rsidRPr="00576EE5">
        <w:rPr>
          <w:rFonts w:cstheme="minorHAnsi"/>
        </w:rPr>
        <w:t xml:space="preserve">To map the </w:t>
      </w:r>
      <w:r w:rsidRPr="00576EE5">
        <w:rPr>
          <w:rFonts w:cstheme="minorHAnsi"/>
          <w:b/>
          <w:bCs/>
        </w:rPr>
        <w:t>Opportunities for Beginning Farmers,</w:t>
      </w:r>
      <w:r w:rsidRPr="00576EE5">
        <w:rPr>
          <w:rFonts w:cstheme="minorHAnsi"/>
        </w:rPr>
        <w:t xml:space="preserve"> I used data on the percent of beginning farmers and the 2010 unemployment rate. Unemployment is important to consider because almost all farms, especially those run by beginning farmers, depend on off-farm income. The unemployment rate serves as a proxy for the county’s economy and the farmers’ ability to run financially viable operations and households. </w:t>
      </w:r>
    </w:p>
    <w:p w:rsidR="00576EE5" w:rsidRDefault="00576EE5" w:rsidP="00DA5305">
      <w:pPr>
        <w:widowControl w:val="0"/>
        <w:spacing w:after="0"/>
        <w:ind w:firstLine="720"/>
        <w:rPr>
          <w:rFonts w:cstheme="minorHAnsi"/>
        </w:rPr>
      </w:pPr>
      <w:r w:rsidRPr="00576EE5">
        <w:rPr>
          <w:rFonts w:cstheme="minorHAnsi"/>
        </w:rPr>
        <w:t xml:space="preserve">Though strong local food markets are generally linked to urban areas, the services a food hub provides may be more appropriate for counties in slightly less dense areas, and/or on the border between rural and urban communities. To estimate </w:t>
      </w:r>
      <w:r w:rsidRPr="00576EE5">
        <w:rPr>
          <w:rFonts w:cstheme="minorHAnsi"/>
          <w:b/>
          <w:bCs/>
        </w:rPr>
        <w:t>Population Density,</w:t>
      </w:r>
      <w:r w:rsidRPr="00576EE5">
        <w:rPr>
          <w:rFonts w:cstheme="minorHAnsi"/>
        </w:rPr>
        <w:t xml:space="preserve"> I used two U.S. Census Bureau classification systems, the Rural-Urban Continuum Code, and the Urban Influence Code.</w:t>
      </w:r>
    </w:p>
    <w:p w:rsidR="00DA5305" w:rsidRDefault="00DA5305" w:rsidP="00DA5305">
      <w:pPr>
        <w:pStyle w:val="ListParagraph"/>
        <w:spacing w:after="0" w:line="240" w:lineRule="auto"/>
        <w:ind w:left="360"/>
        <w:rPr>
          <w:rFonts w:cstheme="minorHAnsi"/>
          <w:b/>
        </w:rPr>
      </w:pPr>
    </w:p>
    <w:p w:rsidR="00DA5305" w:rsidRPr="007A0F2C" w:rsidRDefault="00DA5305" w:rsidP="00DA5305">
      <w:pPr>
        <w:pStyle w:val="ListParagraph"/>
        <w:numPr>
          <w:ilvl w:val="0"/>
          <w:numId w:val="1"/>
        </w:numPr>
        <w:spacing w:after="0" w:line="240" w:lineRule="auto"/>
        <w:ind w:left="360" w:hanging="360"/>
        <w:rPr>
          <w:rFonts w:cstheme="minorHAnsi"/>
          <w:b/>
        </w:rPr>
      </w:pPr>
      <w:r w:rsidRPr="007A0F2C">
        <w:rPr>
          <w:rFonts w:cstheme="minorHAnsi"/>
          <w:b/>
        </w:rPr>
        <w:t>Data Sources</w:t>
      </w:r>
    </w:p>
    <w:p w:rsidR="00DA5305" w:rsidRPr="00E043F0" w:rsidRDefault="00DA5305" w:rsidP="005B52A7">
      <w:pPr>
        <w:spacing w:after="0"/>
        <w:rPr>
          <w:rFonts w:cstheme="minorHAnsi"/>
          <w:i/>
        </w:rPr>
      </w:pPr>
      <w:r w:rsidRPr="00E043F0">
        <w:rPr>
          <w:rFonts w:cstheme="minorHAnsi"/>
          <w:i/>
        </w:rPr>
        <w:t>Current Food Hubs</w:t>
      </w:r>
    </w:p>
    <w:p w:rsidR="00DA5305" w:rsidRDefault="00DA5305" w:rsidP="005B52A7">
      <w:pPr>
        <w:spacing w:after="0"/>
        <w:ind w:firstLine="720"/>
        <w:rPr>
          <w:rFonts w:cstheme="minorHAnsi"/>
        </w:rPr>
      </w:pPr>
      <w:r>
        <w:rPr>
          <w:rFonts w:cstheme="minorHAnsi"/>
        </w:rPr>
        <w:t xml:space="preserve">The USDA’s Agricultural Marketing Service has a webpage devoted to research on food hubs; it includes a </w:t>
      </w:r>
      <w:proofErr w:type="spellStart"/>
      <w:r>
        <w:rPr>
          <w:rFonts w:cstheme="minorHAnsi"/>
        </w:rPr>
        <w:t>pdf</w:t>
      </w:r>
      <w:proofErr w:type="spellEnd"/>
      <w:r>
        <w:rPr>
          <w:rFonts w:cstheme="minorHAnsi"/>
        </w:rPr>
        <w:t xml:space="preserve"> of a recent list of food hubs. Dr. James </w:t>
      </w:r>
      <w:proofErr w:type="spellStart"/>
      <w:r>
        <w:rPr>
          <w:rFonts w:cstheme="minorHAnsi"/>
        </w:rPr>
        <w:t>Barham</w:t>
      </w:r>
      <w:proofErr w:type="spellEnd"/>
      <w:r>
        <w:rPr>
          <w:rFonts w:cstheme="minorHAnsi"/>
        </w:rPr>
        <w:t xml:space="preserve">, a researcher with AMS was kind enough to send me a table (excel file) of the food hub list that included full address data. This made the geocoding process much easier. </w:t>
      </w:r>
    </w:p>
    <w:p w:rsidR="005B52A7" w:rsidRDefault="005B52A7" w:rsidP="005B52A7">
      <w:pPr>
        <w:spacing w:after="0"/>
        <w:rPr>
          <w:rFonts w:cstheme="minorHAnsi"/>
          <w:i/>
        </w:rPr>
      </w:pPr>
    </w:p>
    <w:p w:rsidR="00DA5305" w:rsidRPr="00E043F0" w:rsidRDefault="00DA5305" w:rsidP="005B52A7">
      <w:pPr>
        <w:spacing w:after="0"/>
        <w:rPr>
          <w:rFonts w:cstheme="minorHAnsi"/>
          <w:i/>
        </w:rPr>
      </w:pPr>
      <w:r w:rsidRPr="00E043F0">
        <w:rPr>
          <w:rFonts w:cstheme="minorHAnsi"/>
          <w:i/>
        </w:rPr>
        <w:t>County Variables</w:t>
      </w:r>
    </w:p>
    <w:p w:rsidR="00DA5305" w:rsidRDefault="00DA5305" w:rsidP="005B52A7">
      <w:pPr>
        <w:spacing w:after="0"/>
        <w:ind w:firstLine="720"/>
        <w:rPr>
          <w:rFonts w:cstheme="minorHAnsi"/>
        </w:rPr>
      </w:pPr>
      <w:r>
        <w:rPr>
          <w:rFonts w:cstheme="minorHAnsi"/>
        </w:rPr>
        <w:t xml:space="preserve">The variables in my analysis were downloaded as tables (excel files) from the </w:t>
      </w:r>
      <w:hyperlink r:id="rId8" w:history="1">
        <w:r w:rsidRPr="003672CB">
          <w:rPr>
            <w:rStyle w:val="Hyperlink"/>
            <w:rFonts w:cstheme="minorHAnsi"/>
          </w:rPr>
          <w:t>Food Environment Atlas</w:t>
        </w:r>
      </w:hyperlink>
      <w:r>
        <w:rPr>
          <w:rFonts w:cstheme="minorHAnsi"/>
        </w:rPr>
        <w:t xml:space="preserve"> </w:t>
      </w:r>
      <w:r w:rsidR="00175755">
        <w:rPr>
          <w:rFonts w:cstheme="minorHAnsi"/>
        </w:rPr>
        <w:t xml:space="preserve">(FEA) </w:t>
      </w:r>
      <w:r>
        <w:rPr>
          <w:rFonts w:cstheme="minorHAnsi"/>
        </w:rPr>
        <w:t xml:space="preserve">and the </w:t>
      </w:r>
      <w:hyperlink r:id="rId9" w:history="1">
        <w:r w:rsidRPr="003672CB">
          <w:rPr>
            <w:rStyle w:val="Hyperlink"/>
            <w:rFonts w:cstheme="minorHAnsi"/>
          </w:rPr>
          <w:t>Atlas of Rural and Small Town America</w:t>
        </w:r>
      </w:hyperlink>
      <w:r w:rsidR="00175755">
        <w:rPr>
          <w:rFonts w:cstheme="minorHAnsi"/>
        </w:rPr>
        <w:t xml:space="preserve"> (ARSTA)</w:t>
      </w:r>
      <w:r>
        <w:rPr>
          <w:rFonts w:cstheme="minorHAnsi"/>
        </w:rPr>
        <w:t xml:space="preserve">, two products of the USDA’s Economic Research Service.  The specific years and variables are listed in </w:t>
      </w:r>
      <w:r w:rsidRPr="00175755">
        <w:rPr>
          <w:rFonts w:cstheme="minorHAnsi"/>
        </w:rPr>
        <w:t>the table below. The</w:t>
      </w:r>
      <w:r>
        <w:rPr>
          <w:rFonts w:cstheme="minorHAnsi"/>
        </w:rPr>
        <w:t xml:space="preserve"> links above include the data and metadata for each source. </w:t>
      </w:r>
    </w:p>
    <w:p w:rsidR="00DA5305" w:rsidRDefault="00DA5305" w:rsidP="005B52A7">
      <w:pPr>
        <w:spacing w:after="0"/>
        <w:rPr>
          <w:rFonts w:cstheme="minorHAnsi"/>
        </w:rPr>
      </w:pPr>
    </w:p>
    <w:p w:rsidR="00DA5305" w:rsidRPr="001F6F53" w:rsidRDefault="00DA5305" w:rsidP="005B52A7">
      <w:pPr>
        <w:spacing w:after="0"/>
        <w:rPr>
          <w:rFonts w:cstheme="minorHAnsi"/>
          <w:i/>
        </w:rPr>
      </w:pPr>
      <w:proofErr w:type="spellStart"/>
      <w:r w:rsidRPr="001F6F53">
        <w:rPr>
          <w:rFonts w:cstheme="minorHAnsi"/>
          <w:i/>
        </w:rPr>
        <w:t>Basemap</w:t>
      </w:r>
      <w:proofErr w:type="spellEnd"/>
      <w:r w:rsidRPr="001F6F53">
        <w:rPr>
          <w:rFonts w:cstheme="minorHAnsi"/>
          <w:i/>
        </w:rPr>
        <w:t xml:space="preserve"> Layers</w:t>
      </w:r>
    </w:p>
    <w:p w:rsidR="00DA5305" w:rsidRDefault="00DA5305" w:rsidP="005B52A7">
      <w:pPr>
        <w:spacing w:after="0"/>
        <w:ind w:firstLine="720"/>
        <w:rPr>
          <w:rFonts w:cstheme="minorHAnsi"/>
        </w:rPr>
      </w:pPr>
      <w:r>
        <w:rPr>
          <w:rFonts w:cstheme="minorHAnsi"/>
        </w:rPr>
        <w:t xml:space="preserve">The layers of my </w:t>
      </w:r>
      <w:proofErr w:type="spellStart"/>
      <w:r>
        <w:rPr>
          <w:rFonts w:cstheme="minorHAnsi"/>
        </w:rPr>
        <w:t>basemap</w:t>
      </w:r>
      <w:proofErr w:type="spellEnd"/>
      <w:r>
        <w:rPr>
          <w:rFonts w:cstheme="minorHAnsi"/>
        </w:rPr>
        <w:t xml:space="preserve"> (hydrography, and county, state, and national boundaries) came from ESRI Data Maps 10 on the Tufts GIS lab server. </w:t>
      </w:r>
    </w:p>
    <w:p w:rsidR="00DA5305" w:rsidRDefault="00DA5305" w:rsidP="005B52A7">
      <w:pPr>
        <w:rPr>
          <w:rFonts w:cstheme="minorHAnsi"/>
        </w:rPr>
      </w:pPr>
      <w:r>
        <w:rPr>
          <w:rFonts w:cstheme="minorHAnsi"/>
        </w:rPr>
        <w:br w:type="page"/>
      </w:r>
    </w:p>
    <w:tbl>
      <w:tblPr>
        <w:tblStyle w:val="LightGrid-Accent1"/>
        <w:tblW w:w="9576" w:type="dxa"/>
        <w:tblLook w:val="04A0"/>
      </w:tblPr>
      <w:tblGrid>
        <w:gridCol w:w="4878"/>
        <w:gridCol w:w="1710"/>
        <w:gridCol w:w="2988"/>
      </w:tblGrid>
      <w:tr w:rsidR="00DA5305" w:rsidRPr="00576EE5">
        <w:trPr>
          <w:cnfStyle w:val="100000000000"/>
          <w:trHeight w:val="300"/>
        </w:trPr>
        <w:tc>
          <w:tcPr>
            <w:cnfStyle w:val="001000000000"/>
            <w:tcW w:w="4878" w:type="dxa"/>
            <w:noWrap/>
            <w:vAlign w:val="center"/>
          </w:tcPr>
          <w:p w:rsidR="00DA5305" w:rsidRPr="00576EE5" w:rsidRDefault="00DA5305" w:rsidP="00175755">
            <w:pPr>
              <w:jc w:val="center"/>
              <w:rPr>
                <w:rFonts w:ascii="Calibri" w:eastAsia="Times New Roman" w:hAnsi="Calibri" w:cs="Calibri"/>
                <w:color w:val="000000"/>
              </w:rPr>
            </w:pPr>
            <w:r>
              <w:rPr>
                <w:rFonts w:ascii="Calibri" w:eastAsia="Times New Roman" w:hAnsi="Calibri" w:cs="Calibri"/>
                <w:color w:val="000000"/>
              </w:rPr>
              <w:t>Criteria and Related Variables</w:t>
            </w:r>
          </w:p>
        </w:tc>
        <w:tc>
          <w:tcPr>
            <w:tcW w:w="1710" w:type="dxa"/>
            <w:vAlign w:val="center"/>
          </w:tcPr>
          <w:p w:rsidR="00DA5305" w:rsidRPr="00576EE5" w:rsidRDefault="00DA5305" w:rsidP="00175755">
            <w:pPr>
              <w:jc w:val="center"/>
              <w:cnfStyle w:val="100000000000"/>
              <w:rPr>
                <w:rFonts w:ascii="Calibri" w:eastAsia="Times New Roman" w:hAnsi="Calibri" w:cs="Calibri"/>
                <w:color w:val="000000"/>
              </w:rPr>
            </w:pPr>
            <w:r>
              <w:rPr>
                <w:rFonts w:ascii="Calibri" w:eastAsia="Times New Roman" w:hAnsi="Calibri" w:cs="Calibri"/>
                <w:color w:val="000000"/>
              </w:rPr>
              <w:t>Data Source &amp; Year</w:t>
            </w:r>
          </w:p>
        </w:tc>
        <w:tc>
          <w:tcPr>
            <w:tcW w:w="2988" w:type="dxa"/>
            <w:noWrap/>
            <w:vAlign w:val="center"/>
          </w:tcPr>
          <w:p w:rsidR="00DA5305" w:rsidRPr="00576EE5" w:rsidRDefault="00DA5305" w:rsidP="00175755">
            <w:pPr>
              <w:jc w:val="center"/>
              <w:cnfStyle w:val="100000000000"/>
              <w:rPr>
                <w:rFonts w:ascii="Calibri" w:eastAsia="Times New Roman" w:hAnsi="Calibri" w:cs="Calibri"/>
                <w:color w:val="000000"/>
              </w:rPr>
            </w:pPr>
            <w:r w:rsidRPr="00576EE5">
              <w:rPr>
                <w:rFonts w:ascii="Calibri" w:eastAsia="Times New Roman" w:hAnsi="Calibri" w:cs="Calibri"/>
                <w:color w:val="000000"/>
              </w:rPr>
              <w:t>Mean</w:t>
            </w:r>
            <w:r>
              <w:rPr>
                <w:rFonts w:ascii="Calibri" w:eastAsia="Times New Roman" w:hAnsi="Calibri" w:cs="Calibri"/>
                <w:color w:val="000000"/>
              </w:rPr>
              <w:t xml:space="preserve"> Value in Food Hub Counties</w:t>
            </w:r>
          </w:p>
        </w:tc>
      </w:tr>
      <w:tr w:rsidR="00DA5305" w:rsidRPr="00576EE5">
        <w:trPr>
          <w:cnfStyle w:val="000000100000"/>
          <w:trHeight w:val="300"/>
        </w:trPr>
        <w:tc>
          <w:tcPr>
            <w:cnfStyle w:val="001000000000"/>
            <w:tcW w:w="9576" w:type="dxa"/>
            <w:gridSpan w:val="3"/>
          </w:tcPr>
          <w:p w:rsidR="00DA5305" w:rsidRPr="00576EE5" w:rsidRDefault="00DA5305" w:rsidP="00DA5305">
            <w:pPr>
              <w:rPr>
                <w:rFonts w:ascii="Calibri" w:eastAsia="Times New Roman" w:hAnsi="Calibri" w:cs="Calibri"/>
              </w:rPr>
            </w:pPr>
            <w:r>
              <w:rPr>
                <w:rFonts w:ascii="Calibri" w:eastAsia="Times New Roman" w:hAnsi="Calibri" w:cs="Calibri"/>
              </w:rPr>
              <w:t>Market for Local Food</w:t>
            </w:r>
          </w:p>
        </w:tc>
      </w:tr>
      <w:tr w:rsidR="00DA5305" w:rsidRPr="00576EE5">
        <w:trPr>
          <w:cnfStyle w:val="000000010000"/>
          <w:trHeight w:val="300"/>
        </w:trPr>
        <w:tc>
          <w:tcPr>
            <w:cnfStyle w:val="001000000000"/>
            <w:tcW w:w="4878" w:type="dxa"/>
            <w:shd w:val="clear" w:color="auto" w:fill="auto"/>
          </w:tcPr>
          <w:p w:rsidR="00DA5305" w:rsidRPr="002F2ED0" w:rsidRDefault="00DA5305" w:rsidP="00DA5305">
            <w:pPr>
              <w:jc w:val="right"/>
              <w:rPr>
                <w:rFonts w:ascii="Calibri" w:eastAsia="Times New Roman" w:hAnsi="Calibri" w:cs="Calibri"/>
                <w:b w:val="0"/>
              </w:rPr>
            </w:pPr>
            <w:r w:rsidRPr="002F2ED0">
              <w:rPr>
                <w:rFonts w:ascii="Calibri" w:eastAsia="Times New Roman" w:hAnsi="Calibri" w:cs="Calibri"/>
                <w:b w:val="0"/>
              </w:rPr>
              <w:t>% Farms with direct sales</w:t>
            </w:r>
          </w:p>
        </w:tc>
        <w:tc>
          <w:tcPr>
            <w:tcW w:w="1710" w:type="dxa"/>
            <w:shd w:val="clear" w:color="auto" w:fill="auto"/>
          </w:tcPr>
          <w:p w:rsidR="00DA5305" w:rsidRPr="00576EE5" w:rsidRDefault="00DA5305" w:rsidP="00DA5305">
            <w:pPr>
              <w:jc w:val="center"/>
              <w:cnfStyle w:val="000000010000"/>
              <w:rPr>
                <w:rFonts w:ascii="Calibri" w:eastAsia="Times New Roman" w:hAnsi="Calibri" w:cs="Calibri"/>
              </w:rPr>
            </w:pPr>
            <w:r>
              <w:rPr>
                <w:rFonts w:ascii="Calibri" w:eastAsia="Times New Roman" w:hAnsi="Calibri" w:cs="Calibri"/>
              </w:rPr>
              <w:t>FEA 2007</w:t>
            </w:r>
          </w:p>
        </w:tc>
        <w:tc>
          <w:tcPr>
            <w:tcW w:w="2988" w:type="dxa"/>
            <w:shd w:val="clear" w:color="auto" w:fill="auto"/>
            <w:noWrap/>
          </w:tcPr>
          <w:p w:rsidR="00DA5305" w:rsidRPr="00576EE5" w:rsidRDefault="00DA5305" w:rsidP="00DA5305">
            <w:pPr>
              <w:jc w:val="center"/>
              <w:cnfStyle w:val="000000010000"/>
              <w:rPr>
                <w:rFonts w:ascii="Calibri" w:eastAsia="Times New Roman" w:hAnsi="Calibri" w:cs="Calibri"/>
              </w:rPr>
            </w:pPr>
            <w:r w:rsidRPr="00576EE5">
              <w:rPr>
                <w:rFonts w:ascii="Calibri" w:eastAsia="Times New Roman" w:hAnsi="Calibri" w:cs="Calibri"/>
              </w:rPr>
              <w:t>10.4114</w:t>
            </w:r>
          </w:p>
        </w:tc>
      </w:tr>
      <w:tr w:rsidR="00DA5305" w:rsidRPr="00576EE5">
        <w:trPr>
          <w:cnfStyle w:val="000000100000"/>
          <w:trHeight w:val="332"/>
        </w:trPr>
        <w:tc>
          <w:tcPr>
            <w:cnfStyle w:val="001000000000"/>
            <w:tcW w:w="4878" w:type="dxa"/>
            <w:shd w:val="clear" w:color="auto" w:fill="auto"/>
          </w:tcPr>
          <w:p w:rsidR="00DA5305" w:rsidRPr="002F2ED0" w:rsidRDefault="00DA5305" w:rsidP="00DA5305">
            <w:pPr>
              <w:jc w:val="right"/>
              <w:rPr>
                <w:rFonts w:ascii="Calibri" w:eastAsia="Times New Roman" w:hAnsi="Calibri" w:cs="Calibri"/>
                <w:b w:val="0"/>
                <w:color w:val="000000"/>
              </w:rPr>
            </w:pPr>
            <w:r w:rsidRPr="002F2ED0">
              <w:rPr>
                <w:rFonts w:ascii="Calibri" w:eastAsia="Times New Roman" w:hAnsi="Calibri" w:cs="Calibri"/>
                <w:b w:val="0"/>
                <w:color w:val="000000"/>
              </w:rPr>
              <w:t>% Farm sales $ direct to consumer</w:t>
            </w:r>
          </w:p>
        </w:tc>
        <w:tc>
          <w:tcPr>
            <w:tcW w:w="1710" w:type="dxa"/>
            <w:shd w:val="clear" w:color="auto" w:fill="auto"/>
          </w:tcPr>
          <w:p w:rsidR="00DA5305" w:rsidRPr="00576EE5" w:rsidRDefault="00DA5305" w:rsidP="00DA5305">
            <w:pPr>
              <w:jc w:val="center"/>
              <w:cnfStyle w:val="000000100000"/>
              <w:rPr>
                <w:rFonts w:ascii="Calibri" w:eastAsia="Times New Roman" w:hAnsi="Calibri" w:cs="Calibri"/>
              </w:rPr>
            </w:pPr>
            <w:r>
              <w:rPr>
                <w:rFonts w:ascii="Calibri" w:eastAsia="Times New Roman" w:hAnsi="Calibri" w:cs="Calibri"/>
              </w:rPr>
              <w:t>FEA 2007</w:t>
            </w:r>
          </w:p>
        </w:tc>
        <w:tc>
          <w:tcPr>
            <w:tcW w:w="2988" w:type="dxa"/>
            <w:shd w:val="clear" w:color="auto" w:fill="auto"/>
            <w:noWrap/>
          </w:tcPr>
          <w:p w:rsidR="00DA5305" w:rsidRPr="00576EE5" w:rsidRDefault="00DA5305" w:rsidP="00DA5305">
            <w:pPr>
              <w:jc w:val="center"/>
              <w:cnfStyle w:val="000000100000"/>
              <w:rPr>
                <w:rFonts w:ascii="Calibri" w:eastAsia="Times New Roman" w:hAnsi="Calibri" w:cs="Calibri"/>
              </w:rPr>
            </w:pPr>
            <w:r w:rsidRPr="00576EE5">
              <w:rPr>
                <w:rFonts w:ascii="Calibri" w:eastAsia="Times New Roman" w:hAnsi="Calibri" w:cs="Calibri"/>
              </w:rPr>
              <w:t>1.88175</w:t>
            </w:r>
          </w:p>
        </w:tc>
      </w:tr>
      <w:tr w:rsidR="00DA5305" w:rsidRPr="00576EE5">
        <w:trPr>
          <w:cnfStyle w:val="000000010000"/>
          <w:trHeight w:val="300"/>
        </w:trPr>
        <w:tc>
          <w:tcPr>
            <w:cnfStyle w:val="001000000000"/>
            <w:tcW w:w="4878" w:type="dxa"/>
            <w:shd w:val="clear" w:color="auto" w:fill="auto"/>
          </w:tcPr>
          <w:p w:rsidR="00DA5305" w:rsidRPr="002F2ED0" w:rsidRDefault="00DA5305" w:rsidP="00DA5305">
            <w:pPr>
              <w:jc w:val="right"/>
              <w:rPr>
                <w:rFonts w:ascii="Calibri" w:eastAsia="Times New Roman" w:hAnsi="Calibri" w:cs="Calibri"/>
                <w:b w:val="0"/>
                <w:color w:val="000000"/>
              </w:rPr>
            </w:pPr>
            <w:r w:rsidRPr="002F2ED0">
              <w:rPr>
                <w:rFonts w:ascii="Calibri" w:eastAsia="Times New Roman" w:hAnsi="Calibri" w:cs="Calibri"/>
                <w:b w:val="0"/>
                <w:color w:val="000000"/>
              </w:rPr>
              <w:t>$ Direct farm sales per capita</w:t>
            </w:r>
          </w:p>
        </w:tc>
        <w:tc>
          <w:tcPr>
            <w:tcW w:w="1710" w:type="dxa"/>
            <w:shd w:val="clear" w:color="auto" w:fill="auto"/>
          </w:tcPr>
          <w:p w:rsidR="00DA5305" w:rsidRPr="00576EE5" w:rsidRDefault="00DA5305" w:rsidP="00DA5305">
            <w:pPr>
              <w:jc w:val="center"/>
              <w:cnfStyle w:val="000000010000"/>
              <w:rPr>
                <w:rFonts w:ascii="Calibri" w:eastAsia="Times New Roman" w:hAnsi="Calibri" w:cs="Calibri"/>
              </w:rPr>
            </w:pPr>
            <w:r>
              <w:rPr>
                <w:rFonts w:ascii="Calibri" w:eastAsia="Times New Roman" w:hAnsi="Calibri" w:cs="Calibri"/>
              </w:rPr>
              <w:t>FEA 2007</w:t>
            </w:r>
          </w:p>
        </w:tc>
        <w:tc>
          <w:tcPr>
            <w:tcW w:w="2988" w:type="dxa"/>
            <w:shd w:val="clear" w:color="auto" w:fill="auto"/>
            <w:noWrap/>
          </w:tcPr>
          <w:p w:rsidR="00DA5305" w:rsidRPr="00576EE5" w:rsidRDefault="00DA5305" w:rsidP="00DA5305">
            <w:pPr>
              <w:jc w:val="center"/>
              <w:cnfStyle w:val="000000010000"/>
              <w:rPr>
                <w:rFonts w:ascii="Calibri" w:eastAsia="Times New Roman" w:hAnsi="Calibri" w:cs="Calibri"/>
              </w:rPr>
            </w:pPr>
            <w:r w:rsidRPr="00576EE5">
              <w:rPr>
                <w:rFonts w:ascii="Calibri" w:eastAsia="Times New Roman" w:hAnsi="Calibri" w:cs="Calibri"/>
              </w:rPr>
              <w:t>11.5112</w:t>
            </w:r>
          </w:p>
        </w:tc>
      </w:tr>
      <w:tr w:rsidR="00DA5305" w:rsidRPr="00576EE5">
        <w:trPr>
          <w:cnfStyle w:val="000000100000"/>
          <w:trHeight w:val="300"/>
        </w:trPr>
        <w:tc>
          <w:tcPr>
            <w:cnfStyle w:val="001000000000"/>
            <w:tcW w:w="4878" w:type="dxa"/>
            <w:shd w:val="clear" w:color="auto" w:fill="auto"/>
          </w:tcPr>
          <w:p w:rsidR="00DA5305" w:rsidRPr="002F2ED0" w:rsidRDefault="00DA5305" w:rsidP="00DA5305">
            <w:pPr>
              <w:jc w:val="right"/>
              <w:rPr>
                <w:rFonts w:ascii="Calibri" w:eastAsia="Times New Roman" w:hAnsi="Calibri" w:cs="Calibri"/>
                <w:b w:val="0"/>
                <w:color w:val="000000"/>
              </w:rPr>
            </w:pPr>
            <w:r w:rsidRPr="002F2ED0">
              <w:rPr>
                <w:rFonts w:ascii="Calibri" w:eastAsia="Times New Roman" w:hAnsi="Calibri" w:cs="Calibri"/>
                <w:b w:val="0"/>
                <w:color w:val="000000"/>
              </w:rPr>
              <w:t># Farmers' markets</w:t>
            </w:r>
          </w:p>
        </w:tc>
        <w:tc>
          <w:tcPr>
            <w:tcW w:w="1710" w:type="dxa"/>
            <w:shd w:val="clear" w:color="auto" w:fill="auto"/>
          </w:tcPr>
          <w:p w:rsidR="00DA5305" w:rsidRPr="00576EE5" w:rsidRDefault="00DA5305" w:rsidP="00DA5305">
            <w:pPr>
              <w:jc w:val="center"/>
              <w:cnfStyle w:val="000000100000"/>
              <w:rPr>
                <w:rFonts w:ascii="Calibri" w:eastAsia="Times New Roman" w:hAnsi="Calibri" w:cs="Calibri"/>
                <w:color w:val="000000"/>
              </w:rPr>
            </w:pPr>
            <w:r>
              <w:rPr>
                <w:rFonts w:ascii="Calibri" w:eastAsia="Times New Roman" w:hAnsi="Calibri" w:cs="Calibri"/>
              </w:rPr>
              <w:t>FEA 2010</w:t>
            </w:r>
          </w:p>
        </w:tc>
        <w:tc>
          <w:tcPr>
            <w:tcW w:w="2988" w:type="dxa"/>
            <w:shd w:val="clear" w:color="auto" w:fill="auto"/>
            <w:noWrap/>
          </w:tcPr>
          <w:p w:rsidR="00DA5305" w:rsidRPr="00576EE5" w:rsidRDefault="00DA5305" w:rsidP="00DA5305">
            <w:pPr>
              <w:jc w:val="center"/>
              <w:cnfStyle w:val="000000100000"/>
              <w:rPr>
                <w:rFonts w:ascii="Calibri" w:eastAsia="Times New Roman" w:hAnsi="Calibri" w:cs="Calibri"/>
                <w:color w:val="000000"/>
              </w:rPr>
            </w:pPr>
            <w:r w:rsidRPr="00576EE5">
              <w:rPr>
                <w:rFonts w:ascii="Calibri" w:eastAsia="Times New Roman" w:hAnsi="Calibri" w:cs="Calibri"/>
                <w:color w:val="000000"/>
              </w:rPr>
              <w:t>5.19286</w:t>
            </w:r>
          </w:p>
        </w:tc>
      </w:tr>
      <w:tr w:rsidR="00DA5305" w:rsidRPr="00576EE5">
        <w:trPr>
          <w:cnfStyle w:val="000000010000"/>
          <w:trHeight w:val="300"/>
        </w:trPr>
        <w:tc>
          <w:tcPr>
            <w:cnfStyle w:val="001000000000"/>
            <w:tcW w:w="4878" w:type="dxa"/>
            <w:shd w:val="clear" w:color="auto" w:fill="auto"/>
          </w:tcPr>
          <w:p w:rsidR="00DA5305" w:rsidRPr="002F2ED0" w:rsidRDefault="00DA5305" w:rsidP="00DA5305">
            <w:pPr>
              <w:jc w:val="right"/>
              <w:rPr>
                <w:rFonts w:ascii="Calibri" w:eastAsia="Times New Roman" w:hAnsi="Calibri" w:cs="Calibri"/>
                <w:b w:val="0"/>
                <w:color w:val="000000"/>
              </w:rPr>
            </w:pPr>
            <w:r w:rsidRPr="002F2ED0">
              <w:rPr>
                <w:rFonts w:ascii="Calibri" w:eastAsia="Times New Roman" w:hAnsi="Calibri" w:cs="Calibri"/>
                <w:b w:val="0"/>
                <w:color w:val="000000"/>
              </w:rPr>
              <w:t>% Change farmers' markets</w:t>
            </w:r>
          </w:p>
        </w:tc>
        <w:tc>
          <w:tcPr>
            <w:tcW w:w="1710" w:type="dxa"/>
            <w:shd w:val="clear" w:color="auto" w:fill="auto"/>
          </w:tcPr>
          <w:p w:rsidR="00DA5305" w:rsidRPr="00576EE5" w:rsidRDefault="00DA5305" w:rsidP="00DA5305">
            <w:pPr>
              <w:jc w:val="center"/>
              <w:cnfStyle w:val="000000010000"/>
              <w:rPr>
                <w:rFonts w:ascii="Calibri" w:eastAsia="Times New Roman" w:hAnsi="Calibri" w:cs="Calibri"/>
              </w:rPr>
            </w:pPr>
            <w:r>
              <w:rPr>
                <w:rFonts w:ascii="Calibri" w:eastAsia="Times New Roman" w:hAnsi="Calibri" w:cs="Calibri"/>
              </w:rPr>
              <w:t>FEA 2009-2010</w:t>
            </w:r>
          </w:p>
        </w:tc>
        <w:tc>
          <w:tcPr>
            <w:tcW w:w="2988" w:type="dxa"/>
            <w:shd w:val="clear" w:color="auto" w:fill="auto"/>
            <w:noWrap/>
          </w:tcPr>
          <w:p w:rsidR="00DA5305" w:rsidRPr="00576EE5" w:rsidRDefault="00DA5305" w:rsidP="00DA5305">
            <w:pPr>
              <w:jc w:val="center"/>
              <w:cnfStyle w:val="000000010000"/>
              <w:rPr>
                <w:rFonts w:ascii="Calibri" w:eastAsia="Times New Roman" w:hAnsi="Calibri" w:cs="Calibri"/>
              </w:rPr>
            </w:pPr>
            <w:r w:rsidRPr="00576EE5">
              <w:rPr>
                <w:rFonts w:ascii="Calibri" w:eastAsia="Times New Roman" w:hAnsi="Calibri" w:cs="Calibri"/>
              </w:rPr>
              <w:t>13.8</w:t>
            </w:r>
          </w:p>
        </w:tc>
      </w:tr>
      <w:tr w:rsidR="00DA5305" w:rsidRPr="00576EE5">
        <w:trPr>
          <w:cnfStyle w:val="000000100000"/>
          <w:trHeight w:val="300"/>
        </w:trPr>
        <w:tc>
          <w:tcPr>
            <w:cnfStyle w:val="001000000000"/>
            <w:tcW w:w="4878" w:type="dxa"/>
            <w:shd w:val="clear" w:color="auto" w:fill="auto"/>
          </w:tcPr>
          <w:p w:rsidR="00DA5305" w:rsidRPr="002F2ED0" w:rsidRDefault="00DA5305" w:rsidP="00DA5305">
            <w:pPr>
              <w:jc w:val="right"/>
              <w:rPr>
                <w:rFonts w:ascii="Calibri" w:eastAsia="Times New Roman" w:hAnsi="Calibri" w:cs="Calibri"/>
                <w:b w:val="0"/>
                <w:color w:val="000000"/>
              </w:rPr>
            </w:pPr>
            <w:r w:rsidRPr="002F2ED0">
              <w:rPr>
                <w:rFonts w:ascii="Calibri" w:eastAsia="Times New Roman" w:hAnsi="Calibri" w:cs="Calibri"/>
                <w:b w:val="0"/>
                <w:color w:val="000000"/>
              </w:rPr>
              <w:t>Farmers' markets/ 1,000 pop</w:t>
            </w:r>
          </w:p>
        </w:tc>
        <w:tc>
          <w:tcPr>
            <w:tcW w:w="1710" w:type="dxa"/>
            <w:shd w:val="clear" w:color="auto" w:fill="auto"/>
          </w:tcPr>
          <w:p w:rsidR="00DA5305" w:rsidRPr="00576EE5" w:rsidRDefault="00DA5305" w:rsidP="00DA5305">
            <w:pPr>
              <w:jc w:val="center"/>
              <w:cnfStyle w:val="000000100000"/>
              <w:rPr>
                <w:rFonts w:ascii="Calibri" w:eastAsia="Times New Roman" w:hAnsi="Calibri" w:cs="Calibri"/>
                <w:color w:val="000000"/>
              </w:rPr>
            </w:pPr>
            <w:r>
              <w:rPr>
                <w:rFonts w:ascii="Calibri" w:eastAsia="Times New Roman" w:hAnsi="Calibri" w:cs="Calibri"/>
              </w:rPr>
              <w:t>FEA 2009</w:t>
            </w:r>
          </w:p>
        </w:tc>
        <w:tc>
          <w:tcPr>
            <w:tcW w:w="2988" w:type="dxa"/>
            <w:shd w:val="clear" w:color="auto" w:fill="auto"/>
            <w:noWrap/>
          </w:tcPr>
          <w:p w:rsidR="00DA5305" w:rsidRPr="00576EE5" w:rsidRDefault="00DA5305" w:rsidP="00DA5305">
            <w:pPr>
              <w:jc w:val="center"/>
              <w:cnfStyle w:val="000000100000"/>
              <w:rPr>
                <w:rFonts w:ascii="Calibri" w:eastAsia="Times New Roman" w:hAnsi="Calibri" w:cs="Calibri"/>
                <w:color w:val="000000"/>
              </w:rPr>
            </w:pPr>
            <w:r w:rsidRPr="00576EE5">
              <w:rPr>
                <w:rFonts w:ascii="Calibri" w:eastAsia="Times New Roman" w:hAnsi="Calibri" w:cs="Calibri"/>
                <w:color w:val="000000"/>
              </w:rPr>
              <w:t>0.0546</w:t>
            </w:r>
          </w:p>
        </w:tc>
      </w:tr>
      <w:tr w:rsidR="00DA5305" w:rsidRPr="00576EE5">
        <w:trPr>
          <w:cnfStyle w:val="000000010000"/>
          <w:trHeight w:val="300"/>
        </w:trPr>
        <w:tc>
          <w:tcPr>
            <w:cnfStyle w:val="001000000000"/>
            <w:tcW w:w="4878" w:type="dxa"/>
            <w:shd w:val="clear" w:color="auto" w:fill="auto"/>
          </w:tcPr>
          <w:p w:rsidR="00DA5305" w:rsidRPr="002F2ED0" w:rsidRDefault="00DA5305" w:rsidP="00DA5305">
            <w:pPr>
              <w:jc w:val="right"/>
              <w:rPr>
                <w:rFonts w:ascii="Calibri" w:eastAsia="Times New Roman" w:hAnsi="Calibri" w:cs="Calibri"/>
                <w:b w:val="0"/>
                <w:color w:val="000000"/>
              </w:rPr>
            </w:pPr>
            <w:r w:rsidRPr="002F2ED0">
              <w:rPr>
                <w:rFonts w:ascii="Calibri" w:eastAsia="Times New Roman" w:hAnsi="Calibri" w:cs="Calibri"/>
                <w:b w:val="0"/>
                <w:color w:val="000000"/>
              </w:rPr>
              <w:t>% of farms using C</w:t>
            </w:r>
            <w:r>
              <w:rPr>
                <w:rFonts w:ascii="Calibri" w:eastAsia="Times New Roman" w:hAnsi="Calibri" w:cs="Calibri"/>
                <w:b w:val="0"/>
                <w:color w:val="000000"/>
              </w:rPr>
              <w:t>ommunity Supported Agriculture</w:t>
            </w:r>
          </w:p>
        </w:tc>
        <w:tc>
          <w:tcPr>
            <w:tcW w:w="1710" w:type="dxa"/>
            <w:shd w:val="clear" w:color="auto" w:fill="auto"/>
          </w:tcPr>
          <w:p w:rsidR="00DA5305" w:rsidRPr="00576EE5" w:rsidRDefault="00DA5305" w:rsidP="00DA5305">
            <w:pPr>
              <w:jc w:val="center"/>
              <w:cnfStyle w:val="000000010000"/>
              <w:rPr>
                <w:rFonts w:ascii="Calibri" w:eastAsia="Times New Roman" w:hAnsi="Calibri" w:cs="Calibri"/>
                <w:color w:val="000000"/>
              </w:rPr>
            </w:pPr>
            <w:r>
              <w:rPr>
                <w:rFonts w:ascii="Calibri" w:eastAsia="Times New Roman" w:hAnsi="Calibri" w:cs="Calibri"/>
                <w:color w:val="000000"/>
              </w:rPr>
              <w:t>ARSTA 2007</w:t>
            </w:r>
          </w:p>
        </w:tc>
        <w:tc>
          <w:tcPr>
            <w:tcW w:w="2988" w:type="dxa"/>
            <w:shd w:val="clear" w:color="auto" w:fill="auto"/>
            <w:noWrap/>
          </w:tcPr>
          <w:p w:rsidR="00DA5305" w:rsidRPr="00576EE5" w:rsidRDefault="00DA5305" w:rsidP="00DA5305">
            <w:pPr>
              <w:jc w:val="center"/>
              <w:cnfStyle w:val="000000010000"/>
              <w:rPr>
                <w:rFonts w:ascii="Calibri" w:eastAsia="Times New Roman" w:hAnsi="Calibri" w:cs="Calibri"/>
                <w:color w:val="000000"/>
              </w:rPr>
            </w:pPr>
            <w:r w:rsidRPr="00576EE5">
              <w:rPr>
                <w:rFonts w:ascii="Calibri" w:eastAsia="Times New Roman" w:hAnsi="Calibri" w:cs="Calibri"/>
                <w:color w:val="000000"/>
              </w:rPr>
              <w:t>1.23842</w:t>
            </w:r>
          </w:p>
        </w:tc>
      </w:tr>
      <w:tr w:rsidR="00DA5305" w:rsidRPr="00576EE5">
        <w:trPr>
          <w:cnfStyle w:val="000000100000"/>
          <w:trHeight w:val="300"/>
        </w:trPr>
        <w:tc>
          <w:tcPr>
            <w:cnfStyle w:val="001000000000"/>
            <w:tcW w:w="4878" w:type="dxa"/>
            <w:shd w:val="clear" w:color="auto" w:fill="auto"/>
          </w:tcPr>
          <w:p w:rsidR="00DA5305" w:rsidRPr="002F2ED0" w:rsidRDefault="00DA5305" w:rsidP="00DA5305">
            <w:pPr>
              <w:jc w:val="right"/>
              <w:rPr>
                <w:rFonts w:ascii="Calibri" w:eastAsia="Times New Roman" w:hAnsi="Calibri" w:cs="Calibri"/>
                <w:b w:val="0"/>
                <w:color w:val="000000"/>
              </w:rPr>
            </w:pPr>
            <w:r w:rsidRPr="002F2ED0">
              <w:rPr>
                <w:rFonts w:ascii="Calibri" w:eastAsia="Times New Roman" w:hAnsi="Calibri" w:cs="Calibri"/>
                <w:b w:val="0"/>
                <w:color w:val="000000"/>
              </w:rPr>
              <w:t>Farm to school program</w:t>
            </w:r>
          </w:p>
        </w:tc>
        <w:tc>
          <w:tcPr>
            <w:tcW w:w="1710" w:type="dxa"/>
            <w:shd w:val="clear" w:color="auto" w:fill="auto"/>
          </w:tcPr>
          <w:p w:rsidR="00DA5305" w:rsidRPr="00576EE5" w:rsidRDefault="00DA5305" w:rsidP="00DA5305">
            <w:pPr>
              <w:jc w:val="center"/>
              <w:cnfStyle w:val="000000100000"/>
              <w:rPr>
                <w:rFonts w:ascii="Calibri" w:eastAsia="Times New Roman" w:hAnsi="Calibri" w:cs="Calibri"/>
                <w:color w:val="000000"/>
              </w:rPr>
            </w:pPr>
            <w:r>
              <w:rPr>
                <w:rFonts w:ascii="Calibri" w:eastAsia="Times New Roman" w:hAnsi="Calibri" w:cs="Calibri"/>
              </w:rPr>
              <w:t>FEA 2009</w:t>
            </w:r>
          </w:p>
        </w:tc>
        <w:tc>
          <w:tcPr>
            <w:tcW w:w="2988" w:type="dxa"/>
            <w:shd w:val="clear" w:color="auto" w:fill="auto"/>
            <w:noWrap/>
          </w:tcPr>
          <w:p w:rsidR="00DA5305" w:rsidRPr="00576EE5" w:rsidRDefault="00DA5305" w:rsidP="00DA5305">
            <w:pPr>
              <w:jc w:val="center"/>
              <w:cnfStyle w:val="000000100000"/>
              <w:rPr>
                <w:rFonts w:ascii="Calibri" w:eastAsia="Times New Roman" w:hAnsi="Calibri" w:cs="Calibri"/>
                <w:color w:val="000000"/>
              </w:rPr>
            </w:pPr>
            <w:r w:rsidRPr="00576EE5">
              <w:rPr>
                <w:rFonts w:ascii="Calibri" w:eastAsia="Times New Roman" w:hAnsi="Calibri" w:cs="Calibri"/>
                <w:color w:val="000000"/>
              </w:rPr>
              <w:t>0.22857</w:t>
            </w:r>
          </w:p>
        </w:tc>
      </w:tr>
      <w:tr w:rsidR="00DA5305" w:rsidRPr="00576EE5">
        <w:trPr>
          <w:cnfStyle w:val="000000010000"/>
          <w:trHeight w:val="300"/>
        </w:trPr>
        <w:tc>
          <w:tcPr>
            <w:cnfStyle w:val="001000000000"/>
            <w:tcW w:w="9576" w:type="dxa"/>
            <w:gridSpan w:val="3"/>
            <w:shd w:val="clear" w:color="auto" w:fill="DBE5F1" w:themeFill="accent1" w:themeFillTint="33"/>
          </w:tcPr>
          <w:p w:rsidR="00DA5305" w:rsidRPr="00576EE5" w:rsidRDefault="00DA5305" w:rsidP="00DA5305">
            <w:pPr>
              <w:rPr>
                <w:rFonts w:ascii="Calibri" w:eastAsia="Times New Roman" w:hAnsi="Calibri" w:cs="Calibri"/>
                <w:color w:val="000000"/>
              </w:rPr>
            </w:pPr>
            <w:r w:rsidRPr="00576EE5">
              <w:rPr>
                <w:rFonts w:ascii="Calibri" w:eastAsia="Times New Roman" w:hAnsi="Calibri" w:cs="Calibri"/>
                <w:color w:val="000000"/>
              </w:rPr>
              <w:t xml:space="preserve">Food Production </w:t>
            </w:r>
          </w:p>
        </w:tc>
      </w:tr>
      <w:tr w:rsidR="00DA5305" w:rsidRPr="00576EE5">
        <w:trPr>
          <w:cnfStyle w:val="000000100000"/>
          <w:trHeight w:val="300"/>
        </w:trPr>
        <w:tc>
          <w:tcPr>
            <w:cnfStyle w:val="001000000000"/>
            <w:tcW w:w="4878" w:type="dxa"/>
            <w:shd w:val="clear" w:color="auto" w:fill="auto"/>
          </w:tcPr>
          <w:p w:rsidR="00DA5305" w:rsidRPr="002F2ED0" w:rsidRDefault="00DA5305" w:rsidP="00DA5305">
            <w:pPr>
              <w:jc w:val="right"/>
              <w:rPr>
                <w:rFonts w:ascii="Calibri" w:eastAsia="Times New Roman" w:hAnsi="Calibri" w:cs="Calibri"/>
                <w:b w:val="0"/>
                <w:color w:val="000000"/>
              </w:rPr>
            </w:pPr>
            <w:r w:rsidRPr="002F2ED0">
              <w:rPr>
                <w:rFonts w:ascii="Calibri" w:eastAsia="Times New Roman" w:hAnsi="Calibri" w:cs="Calibri"/>
                <w:b w:val="0"/>
                <w:color w:val="000000"/>
              </w:rPr>
              <w:t># Vegetable acres harvested</w:t>
            </w:r>
          </w:p>
        </w:tc>
        <w:tc>
          <w:tcPr>
            <w:tcW w:w="1710" w:type="dxa"/>
            <w:shd w:val="clear" w:color="auto" w:fill="auto"/>
            <w:vAlign w:val="center"/>
          </w:tcPr>
          <w:p w:rsidR="00DA5305" w:rsidRPr="002926D6" w:rsidRDefault="00DA5305" w:rsidP="00175755">
            <w:pPr>
              <w:jc w:val="center"/>
              <w:cnfStyle w:val="000000100000"/>
              <w:rPr>
                <w:rFonts w:ascii="Calibri" w:eastAsia="Times New Roman" w:hAnsi="Calibri" w:cs="Calibri"/>
                <w:color w:val="000000"/>
              </w:rPr>
            </w:pPr>
            <w:r w:rsidRPr="002926D6">
              <w:rPr>
                <w:rFonts w:ascii="Calibri" w:eastAsia="Times New Roman" w:hAnsi="Calibri" w:cs="Calibri"/>
                <w:color w:val="000000"/>
              </w:rPr>
              <w:t>FEA</w:t>
            </w:r>
            <w:r>
              <w:rPr>
                <w:rFonts w:ascii="Calibri" w:eastAsia="Times New Roman" w:hAnsi="Calibri" w:cs="Calibri"/>
                <w:color w:val="000000"/>
              </w:rPr>
              <w:t xml:space="preserve"> 2007</w:t>
            </w:r>
          </w:p>
        </w:tc>
        <w:tc>
          <w:tcPr>
            <w:tcW w:w="2988" w:type="dxa"/>
            <w:shd w:val="clear" w:color="auto" w:fill="auto"/>
            <w:noWrap/>
          </w:tcPr>
          <w:p w:rsidR="00DA5305" w:rsidRPr="00576EE5" w:rsidRDefault="00DA5305" w:rsidP="00DA5305">
            <w:pPr>
              <w:jc w:val="center"/>
              <w:cnfStyle w:val="000000100000"/>
              <w:rPr>
                <w:rFonts w:ascii="Calibri" w:eastAsia="Times New Roman" w:hAnsi="Calibri" w:cs="Calibri"/>
                <w:color w:val="000000"/>
              </w:rPr>
            </w:pPr>
            <w:r w:rsidRPr="00576EE5">
              <w:rPr>
                <w:rFonts w:ascii="Calibri" w:eastAsia="Times New Roman" w:hAnsi="Calibri" w:cs="Calibri"/>
                <w:color w:val="000000"/>
              </w:rPr>
              <w:t>2808.07</w:t>
            </w:r>
          </w:p>
        </w:tc>
      </w:tr>
      <w:tr w:rsidR="00DA5305" w:rsidRPr="00576EE5">
        <w:trPr>
          <w:cnfStyle w:val="000000010000"/>
          <w:trHeight w:val="332"/>
        </w:trPr>
        <w:tc>
          <w:tcPr>
            <w:cnfStyle w:val="001000000000"/>
            <w:tcW w:w="4878" w:type="dxa"/>
            <w:shd w:val="clear" w:color="auto" w:fill="auto"/>
          </w:tcPr>
          <w:p w:rsidR="00DA5305" w:rsidRPr="002F2ED0" w:rsidRDefault="00DA5305" w:rsidP="00DA5305">
            <w:pPr>
              <w:jc w:val="right"/>
              <w:rPr>
                <w:rFonts w:ascii="Calibri" w:eastAsia="Times New Roman" w:hAnsi="Calibri" w:cs="Calibri"/>
                <w:b w:val="0"/>
                <w:color w:val="000000"/>
              </w:rPr>
            </w:pPr>
            <w:r w:rsidRPr="002F2ED0">
              <w:rPr>
                <w:rFonts w:ascii="Calibri" w:eastAsia="Times New Roman" w:hAnsi="Calibri" w:cs="Calibri"/>
                <w:b w:val="0"/>
                <w:color w:val="000000"/>
              </w:rPr>
              <w:t>Vegetable acres harvested/ 1,000 pop</w:t>
            </w:r>
          </w:p>
        </w:tc>
        <w:tc>
          <w:tcPr>
            <w:tcW w:w="1710" w:type="dxa"/>
            <w:shd w:val="clear" w:color="auto" w:fill="auto"/>
            <w:vAlign w:val="center"/>
          </w:tcPr>
          <w:p w:rsidR="00DA5305" w:rsidRPr="002926D6" w:rsidRDefault="00DA5305" w:rsidP="00175755">
            <w:pPr>
              <w:jc w:val="center"/>
              <w:cnfStyle w:val="000000010000"/>
              <w:rPr>
                <w:rFonts w:ascii="Calibri" w:eastAsia="Times New Roman" w:hAnsi="Calibri" w:cs="Calibri"/>
                <w:color w:val="000000"/>
              </w:rPr>
            </w:pPr>
            <w:r w:rsidRPr="002926D6">
              <w:rPr>
                <w:rFonts w:ascii="Calibri" w:eastAsia="Times New Roman" w:hAnsi="Calibri" w:cs="Calibri"/>
                <w:color w:val="000000"/>
              </w:rPr>
              <w:t>FEA</w:t>
            </w:r>
            <w:r>
              <w:rPr>
                <w:rFonts w:ascii="Calibri" w:eastAsia="Times New Roman" w:hAnsi="Calibri" w:cs="Calibri"/>
                <w:color w:val="000000"/>
              </w:rPr>
              <w:t xml:space="preserve"> 2007</w:t>
            </w:r>
          </w:p>
        </w:tc>
        <w:tc>
          <w:tcPr>
            <w:tcW w:w="2988" w:type="dxa"/>
            <w:shd w:val="clear" w:color="auto" w:fill="auto"/>
            <w:noWrap/>
          </w:tcPr>
          <w:p w:rsidR="00DA5305" w:rsidRPr="00576EE5" w:rsidRDefault="00DA5305" w:rsidP="00DA5305">
            <w:pPr>
              <w:jc w:val="center"/>
              <w:cnfStyle w:val="000000010000"/>
              <w:rPr>
                <w:rFonts w:ascii="Calibri" w:eastAsia="Times New Roman" w:hAnsi="Calibri" w:cs="Calibri"/>
                <w:color w:val="000000"/>
              </w:rPr>
            </w:pPr>
            <w:r w:rsidRPr="00576EE5">
              <w:rPr>
                <w:rFonts w:ascii="Calibri" w:eastAsia="Times New Roman" w:hAnsi="Calibri" w:cs="Calibri"/>
                <w:color w:val="000000"/>
              </w:rPr>
              <w:t>26.3307</w:t>
            </w:r>
          </w:p>
        </w:tc>
      </w:tr>
      <w:tr w:rsidR="00DA5305" w:rsidRPr="00576EE5">
        <w:trPr>
          <w:cnfStyle w:val="000000100000"/>
          <w:trHeight w:val="300"/>
        </w:trPr>
        <w:tc>
          <w:tcPr>
            <w:cnfStyle w:val="001000000000"/>
            <w:tcW w:w="4878" w:type="dxa"/>
            <w:shd w:val="clear" w:color="auto" w:fill="auto"/>
            <w:noWrap/>
          </w:tcPr>
          <w:p w:rsidR="00DA5305" w:rsidRPr="002F2ED0" w:rsidRDefault="00DA5305" w:rsidP="00DA5305">
            <w:pPr>
              <w:jc w:val="right"/>
              <w:rPr>
                <w:rFonts w:ascii="Calibri" w:eastAsia="Times New Roman" w:hAnsi="Calibri" w:cs="Calibri"/>
                <w:b w:val="0"/>
              </w:rPr>
            </w:pPr>
            <w:r w:rsidRPr="002F2ED0">
              <w:rPr>
                <w:rFonts w:ascii="Calibri" w:eastAsia="Times New Roman" w:hAnsi="Calibri" w:cs="Calibri"/>
                <w:b w:val="0"/>
              </w:rPr>
              <w:t>Average per farm</w:t>
            </w:r>
            <w:r>
              <w:rPr>
                <w:rFonts w:ascii="Calibri" w:eastAsia="Times New Roman" w:hAnsi="Calibri" w:cs="Calibri"/>
                <w:b w:val="0"/>
              </w:rPr>
              <w:t xml:space="preserve"> market value of products sold</w:t>
            </w:r>
          </w:p>
        </w:tc>
        <w:tc>
          <w:tcPr>
            <w:tcW w:w="1710" w:type="dxa"/>
            <w:shd w:val="clear" w:color="auto" w:fill="auto"/>
            <w:vAlign w:val="center"/>
          </w:tcPr>
          <w:p w:rsidR="00DA5305" w:rsidRPr="002926D6" w:rsidRDefault="00DA5305" w:rsidP="00175755">
            <w:pPr>
              <w:jc w:val="center"/>
              <w:cnfStyle w:val="000000100000"/>
              <w:rPr>
                <w:rFonts w:ascii="Calibri" w:eastAsia="Times New Roman" w:hAnsi="Calibri" w:cs="Calibri"/>
                <w:color w:val="000000"/>
              </w:rPr>
            </w:pPr>
            <w:r w:rsidRPr="002926D6">
              <w:rPr>
                <w:rFonts w:ascii="Calibri" w:eastAsia="Times New Roman" w:hAnsi="Calibri" w:cs="Calibri"/>
                <w:color w:val="000000"/>
              </w:rPr>
              <w:t>ARSTA</w:t>
            </w:r>
            <w:r>
              <w:rPr>
                <w:rFonts w:ascii="Calibri" w:eastAsia="Times New Roman" w:hAnsi="Calibri" w:cs="Calibri"/>
                <w:color w:val="000000"/>
              </w:rPr>
              <w:t xml:space="preserve"> 2007</w:t>
            </w:r>
          </w:p>
        </w:tc>
        <w:tc>
          <w:tcPr>
            <w:tcW w:w="2988" w:type="dxa"/>
            <w:shd w:val="clear" w:color="auto" w:fill="auto"/>
            <w:noWrap/>
          </w:tcPr>
          <w:p w:rsidR="00DA5305" w:rsidRPr="00576EE5" w:rsidRDefault="00DA5305" w:rsidP="00DA5305">
            <w:pPr>
              <w:jc w:val="center"/>
              <w:cnfStyle w:val="000000100000"/>
              <w:rPr>
                <w:rFonts w:ascii="Calibri" w:eastAsia="Times New Roman" w:hAnsi="Calibri" w:cs="Calibri"/>
                <w:color w:val="000000"/>
              </w:rPr>
            </w:pPr>
            <w:r w:rsidRPr="00576EE5">
              <w:rPr>
                <w:rFonts w:ascii="Calibri" w:eastAsia="Times New Roman" w:hAnsi="Calibri" w:cs="Calibri"/>
                <w:color w:val="000000"/>
              </w:rPr>
              <w:t>121055</w:t>
            </w:r>
          </w:p>
        </w:tc>
      </w:tr>
      <w:tr w:rsidR="00DA5305" w:rsidRPr="00576EE5">
        <w:trPr>
          <w:cnfStyle w:val="000000010000"/>
          <w:trHeight w:val="300"/>
        </w:trPr>
        <w:tc>
          <w:tcPr>
            <w:cnfStyle w:val="001000000000"/>
            <w:tcW w:w="4878" w:type="dxa"/>
            <w:shd w:val="clear" w:color="auto" w:fill="auto"/>
            <w:noWrap/>
          </w:tcPr>
          <w:p w:rsidR="00DA5305" w:rsidRPr="002F2ED0" w:rsidRDefault="00DA5305" w:rsidP="00DA5305">
            <w:pPr>
              <w:jc w:val="right"/>
              <w:rPr>
                <w:rFonts w:ascii="Calibri" w:eastAsia="Times New Roman" w:hAnsi="Calibri" w:cs="Calibri"/>
                <w:b w:val="0"/>
              </w:rPr>
            </w:pPr>
            <w:r w:rsidRPr="002F2ED0">
              <w:rPr>
                <w:rFonts w:ascii="Calibri" w:eastAsia="Times New Roman" w:hAnsi="Calibri" w:cs="Calibri"/>
                <w:b w:val="0"/>
              </w:rPr>
              <w:t>% of farms with value added commodities</w:t>
            </w:r>
          </w:p>
        </w:tc>
        <w:tc>
          <w:tcPr>
            <w:tcW w:w="1710" w:type="dxa"/>
            <w:shd w:val="clear" w:color="auto" w:fill="auto"/>
            <w:vAlign w:val="center"/>
          </w:tcPr>
          <w:p w:rsidR="00DA5305" w:rsidRPr="002926D6" w:rsidRDefault="00DA5305" w:rsidP="00175755">
            <w:pPr>
              <w:jc w:val="center"/>
              <w:cnfStyle w:val="000000010000"/>
              <w:rPr>
                <w:rFonts w:ascii="Calibri" w:eastAsia="Times New Roman" w:hAnsi="Calibri" w:cs="Calibri"/>
                <w:color w:val="000000"/>
              </w:rPr>
            </w:pPr>
            <w:r w:rsidRPr="002926D6">
              <w:rPr>
                <w:rFonts w:ascii="Calibri" w:eastAsia="Times New Roman" w:hAnsi="Calibri" w:cs="Calibri"/>
                <w:color w:val="000000"/>
              </w:rPr>
              <w:t>ARSTA</w:t>
            </w:r>
            <w:r>
              <w:rPr>
                <w:rFonts w:ascii="Calibri" w:eastAsia="Times New Roman" w:hAnsi="Calibri" w:cs="Calibri"/>
                <w:color w:val="000000"/>
              </w:rPr>
              <w:t xml:space="preserve"> 2007</w:t>
            </w:r>
          </w:p>
        </w:tc>
        <w:tc>
          <w:tcPr>
            <w:tcW w:w="2988" w:type="dxa"/>
            <w:shd w:val="clear" w:color="auto" w:fill="auto"/>
            <w:noWrap/>
          </w:tcPr>
          <w:p w:rsidR="00DA5305" w:rsidRPr="00576EE5" w:rsidRDefault="00DA5305" w:rsidP="00DA5305">
            <w:pPr>
              <w:jc w:val="center"/>
              <w:cnfStyle w:val="000000010000"/>
              <w:rPr>
                <w:rFonts w:ascii="Calibri" w:eastAsia="Times New Roman" w:hAnsi="Calibri" w:cs="Calibri"/>
                <w:color w:val="000000"/>
              </w:rPr>
            </w:pPr>
            <w:r w:rsidRPr="00576EE5">
              <w:rPr>
                <w:rFonts w:ascii="Calibri" w:eastAsia="Times New Roman" w:hAnsi="Calibri" w:cs="Calibri"/>
                <w:color w:val="000000"/>
              </w:rPr>
              <w:t>4.9614</w:t>
            </w:r>
          </w:p>
        </w:tc>
      </w:tr>
      <w:tr w:rsidR="00DA5305" w:rsidRPr="00576EE5">
        <w:trPr>
          <w:cnfStyle w:val="000000100000"/>
          <w:trHeight w:val="300"/>
        </w:trPr>
        <w:tc>
          <w:tcPr>
            <w:cnfStyle w:val="001000000000"/>
            <w:tcW w:w="9576" w:type="dxa"/>
            <w:gridSpan w:val="3"/>
          </w:tcPr>
          <w:p w:rsidR="00DA5305" w:rsidRPr="00576EE5" w:rsidRDefault="00DA5305" w:rsidP="00DA5305">
            <w:pPr>
              <w:rPr>
                <w:rFonts w:ascii="Calibri" w:eastAsia="Times New Roman" w:hAnsi="Calibri" w:cs="Calibri"/>
                <w:color w:val="000000"/>
              </w:rPr>
            </w:pPr>
            <w:r w:rsidRPr="00576EE5">
              <w:rPr>
                <w:rFonts w:ascii="Calibri" w:eastAsia="Times New Roman" w:hAnsi="Calibri" w:cs="Calibri"/>
                <w:color w:val="000000"/>
              </w:rPr>
              <w:t>Beginning farmer support</w:t>
            </w:r>
          </w:p>
        </w:tc>
      </w:tr>
      <w:tr w:rsidR="00DA5305" w:rsidRPr="00576EE5">
        <w:trPr>
          <w:cnfStyle w:val="000000010000"/>
          <w:trHeight w:val="300"/>
        </w:trPr>
        <w:tc>
          <w:tcPr>
            <w:cnfStyle w:val="001000000000"/>
            <w:tcW w:w="4878" w:type="dxa"/>
            <w:shd w:val="clear" w:color="auto" w:fill="auto"/>
            <w:noWrap/>
          </w:tcPr>
          <w:p w:rsidR="00DA5305" w:rsidRPr="002F2ED0" w:rsidRDefault="00DA5305" w:rsidP="00DA5305">
            <w:pPr>
              <w:jc w:val="right"/>
              <w:rPr>
                <w:rFonts w:ascii="Calibri" w:eastAsia="Times New Roman" w:hAnsi="Calibri" w:cs="Calibri"/>
                <w:b w:val="0"/>
              </w:rPr>
            </w:pPr>
            <w:r w:rsidRPr="002F2ED0">
              <w:rPr>
                <w:rFonts w:ascii="Calibri" w:eastAsia="Times New Roman" w:hAnsi="Calibri" w:cs="Calibri"/>
                <w:b w:val="0"/>
              </w:rPr>
              <w:t xml:space="preserve">% of principal operators with less than </w:t>
            </w:r>
          </w:p>
          <w:p w:rsidR="00DA5305" w:rsidRPr="002F2ED0" w:rsidRDefault="00DA5305" w:rsidP="00DA5305">
            <w:pPr>
              <w:jc w:val="right"/>
              <w:rPr>
                <w:rFonts w:ascii="Calibri" w:eastAsia="Times New Roman" w:hAnsi="Calibri" w:cs="Calibri"/>
                <w:b w:val="0"/>
              </w:rPr>
            </w:pPr>
            <w:r w:rsidRPr="002F2ED0">
              <w:rPr>
                <w:rFonts w:ascii="Calibri" w:eastAsia="Times New Roman" w:hAnsi="Calibri" w:cs="Calibri"/>
                <w:b w:val="0"/>
              </w:rPr>
              <w:t>10 years on present farm</w:t>
            </w:r>
          </w:p>
        </w:tc>
        <w:tc>
          <w:tcPr>
            <w:tcW w:w="1710" w:type="dxa"/>
          </w:tcPr>
          <w:p w:rsidR="00DA5305" w:rsidRPr="00576EE5" w:rsidRDefault="00DA5305" w:rsidP="00DA5305">
            <w:pPr>
              <w:jc w:val="center"/>
              <w:cnfStyle w:val="000000010000"/>
              <w:rPr>
                <w:rFonts w:ascii="Calibri" w:eastAsia="Times New Roman" w:hAnsi="Calibri" w:cs="Calibri"/>
                <w:color w:val="000000"/>
              </w:rPr>
            </w:pPr>
            <w:r>
              <w:rPr>
                <w:rFonts w:ascii="Calibri" w:eastAsia="Times New Roman" w:hAnsi="Calibri" w:cs="Calibri"/>
                <w:color w:val="000000"/>
              </w:rPr>
              <w:t>ARSTA 2007</w:t>
            </w:r>
          </w:p>
        </w:tc>
        <w:tc>
          <w:tcPr>
            <w:tcW w:w="2988" w:type="dxa"/>
            <w:shd w:val="clear" w:color="auto" w:fill="auto"/>
            <w:noWrap/>
          </w:tcPr>
          <w:p w:rsidR="00DA5305" w:rsidRPr="00576EE5" w:rsidRDefault="00DA5305" w:rsidP="00DA5305">
            <w:pPr>
              <w:jc w:val="center"/>
              <w:cnfStyle w:val="000000010000"/>
              <w:rPr>
                <w:rFonts w:ascii="Calibri" w:eastAsia="Times New Roman" w:hAnsi="Calibri" w:cs="Calibri"/>
                <w:color w:val="000000"/>
              </w:rPr>
            </w:pPr>
            <w:r w:rsidRPr="00576EE5">
              <w:rPr>
                <w:rFonts w:ascii="Calibri" w:eastAsia="Times New Roman" w:hAnsi="Calibri" w:cs="Calibri"/>
                <w:color w:val="000000"/>
              </w:rPr>
              <w:t>27.2473</w:t>
            </w:r>
          </w:p>
        </w:tc>
      </w:tr>
      <w:tr w:rsidR="00DA5305" w:rsidRPr="00576EE5">
        <w:trPr>
          <w:cnfStyle w:val="000000100000"/>
          <w:trHeight w:val="300"/>
        </w:trPr>
        <w:tc>
          <w:tcPr>
            <w:cnfStyle w:val="001000000000"/>
            <w:tcW w:w="4878" w:type="dxa"/>
            <w:shd w:val="clear" w:color="auto" w:fill="auto"/>
            <w:noWrap/>
          </w:tcPr>
          <w:p w:rsidR="00DA5305" w:rsidRPr="002F2ED0" w:rsidRDefault="00DA5305" w:rsidP="00DA5305">
            <w:pPr>
              <w:jc w:val="right"/>
              <w:rPr>
                <w:rFonts w:ascii="Calibri" w:eastAsia="Times New Roman" w:hAnsi="Calibri" w:cs="Calibri"/>
                <w:b w:val="0"/>
              </w:rPr>
            </w:pPr>
            <w:r w:rsidRPr="002F2ED0">
              <w:rPr>
                <w:rFonts w:ascii="Calibri" w:eastAsia="Times New Roman" w:hAnsi="Calibri" w:cs="Calibri"/>
                <w:b w:val="0"/>
              </w:rPr>
              <w:t>Unemployment rate</w:t>
            </w:r>
          </w:p>
        </w:tc>
        <w:tc>
          <w:tcPr>
            <w:tcW w:w="1710" w:type="dxa"/>
            <w:shd w:val="clear" w:color="auto" w:fill="auto"/>
          </w:tcPr>
          <w:p w:rsidR="00DA5305" w:rsidRPr="00576EE5" w:rsidRDefault="00DA5305" w:rsidP="00DA5305">
            <w:pPr>
              <w:jc w:val="center"/>
              <w:cnfStyle w:val="000000100000"/>
              <w:rPr>
                <w:rFonts w:ascii="Calibri" w:eastAsia="Times New Roman" w:hAnsi="Calibri" w:cs="Calibri"/>
                <w:color w:val="000000"/>
              </w:rPr>
            </w:pPr>
            <w:r>
              <w:rPr>
                <w:rFonts w:ascii="Calibri" w:eastAsia="Times New Roman" w:hAnsi="Calibri" w:cs="Calibri"/>
                <w:color w:val="000000"/>
              </w:rPr>
              <w:t>ARSTA 2010</w:t>
            </w:r>
          </w:p>
        </w:tc>
        <w:tc>
          <w:tcPr>
            <w:tcW w:w="2988" w:type="dxa"/>
            <w:shd w:val="clear" w:color="auto" w:fill="auto"/>
            <w:noWrap/>
          </w:tcPr>
          <w:p w:rsidR="00DA5305" w:rsidRPr="00576EE5" w:rsidRDefault="00DA5305" w:rsidP="00DA5305">
            <w:pPr>
              <w:jc w:val="center"/>
              <w:cnfStyle w:val="000000100000"/>
              <w:rPr>
                <w:rFonts w:ascii="Calibri" w:eastAsia="Times New Roman" w:hAnsi="Calibri" w:cs="Calibri"/>
                <w:color w:val="000000"/>
              </w:rPr>
            </w:pPr>
            <w:r w:rsidRPr="00576EE5">
              <w:rPr>
                <w:rFonts w:ascii="Calibri" w:eastAsia="Times New Roman" w:hAnsi="Calibri" w:cs="Calibri"/>
                <w:color w:val="000000"/>
              </w:rPr>
              <w:t>8.72714</w:t>
            </w:r>
          </w:p>
        </w:tc>
      </w:tr>
      <w:tr w:rsidR="00DA5305" w:rsidRPr="00576EE5">
        <w:trPr>
          <w:cnfStyle w:val="000000010000"/>
          <w:trHeight w:val="300"/>
        </w:trPr>
        <w:tc>
          <w:tcPr>
            <w:cnfStyle w:val="001000000000"/>
            <w:tcW w:w="9576" w:type="dxa"/>
            <w:gridSpan w:val="3"/>
            <w:shd w:val="clear" w:color="auto" w:fill="DBE5F1" w:themeFill="accent1" w:themeFillTint="33"/>
          </w:tcPr>
          <w:p w:rsidR="00DA5305" w:rsidRPr="00576EE5" w:rsidRDefault="00DA5305" w:rsidP="00DA5305">
            <w:pPr>
              <w:rPr>
                <w:rFonts w:ascii="Calibri" w:eastAsia="Times New Roman" w:hAnsi="Calibri" w:cs="Calibri"/>
                <w:color w:val="000000"/>
              </w:rPr>
            </w:pPr>
            <w:r w:rsidRPr="00576EE5">
              <w:rPr>
                <w:rFonts w:ascii="Calibri" w:eastAsia="Times New Roman" w:hAnsi="Calibri" w:cs="Calibri"/>
                <w:color w:val="000000"/>
              </w:rPr>
              <w:t>Population Density</w:t>
            </w:r>
          </w:p>
        </w:tc>
      </w:tr>
      <w:tr w:rsidR="00DA5305" w:rsidRPr="00576EE5">
        <w:trPr>
          <w:cnfStyle w:val="000000100000"/>
          <w:trHeight w:val="300"/>
        </w:trPr>
        <w:tc>
          <w:tcPr>
            <w:cnfStyle w:val="001000000000"/>
            <w:tcW w:w="4878" w:type="dxa"/>
            <w:shd w:val="clear" w:color="auto" w:fill="auto"/>
            <w:noWrap/>
          </w:tcPr>
          <w:p w:rsidR="00DA5305" w:rsidRPr="002F2ED0" w:rsidRDefault="00DA5305" w:rsidP="00DA5305">
            <w:pPr>
              <w:jc w:val="right"/>
              <w:rPr>
                <w:rFonts w:ascii="Calibri" w:eastAsia="Times New Roman" w:hAnsi="Calibri" w:cs="Calibri"/>
                <w:b w:val="0"/>
                <w:color w:val="000000"/>
              </w:rPr>
            </w:pPr>
            <w:r w:rsidRPr="002F2ED0">
              <w:rPr>
                <w:rFonts w:ascii="Calibri" w:eastAsia="Times New Roman" w:hAnsi="Calibri" w:cs="Calibri"/>
                <w:b w:val="0"/>
                <w:color w:val="000000"/>
              </w:rPr>
              <w:t>Rural-urban Continuum Code</w:t>
            </w:r>
          </w:p>
        </w:tc>
        <w:tc>
          <w:tcPr>
            <w:tcW w:w="1710" w:type="dxa"/>
            <w:shd w:val="clear" w:color="auto" w:fill="auto"/>
          </w:tcPr>
          <w:p w:rsidR="00DA5305" w:rsidRPr="00576EE5" w:rsidRDefault="00DA5305" w:rsidP="00DA5305">
            <w:pPr>
              <w:jc w:val="center"/>
              <w:cnfStyle w:val="000000100000"/>
              <w:rPr>
                <w:rFonts w:ascii="Calibri" w:eastAsia="Times New Roman" w:hAnsi="Calibri" w:cs="Calibri"/>
                <w:color w:val="000000"/>
              </w:rPr>
            </w:pPr>
            <w:r>
              <w:rPr>
                <w:rFonts w:ascii="Calibri" w:eastAsia="Times New Roman" w:hAnsi="Calibri" w:cs="Calibri"/>
                <w:color w:val="000000"/>
              </w:rPr>
              <w:t>2000</w:t>
            </w:r>
          </w:p>
        </w:tc>
        <w:tc>
          <w:tcPr>
            <w:tcW w:w="2988" w:type="dxa"/>
            <w:shd w:val="clear" w:color="auto" w:fill="auto"/>
            <w:noWrap/>
          </w:tcPr>
          <w:p w:rsidR="00DA5305" w:rsidRPr="00576EE5" w:rsidRDefault="00DA5305" w:rsidP="00DA5305">
            <w:pPr>
              <w:jc w:val="center"/>
              <w:cnfStyle w:val="000000100000"/>
              <w:rPr>
                <w:rFonts w:ascii="Calibri" w:eastAsia="Times New Roman" w:hAnsi="Calibri" w:cs="Calibri"/>
                <w:color w:val="000000"/>
              </w:rPr>
            </w:pPr>
            <w:r w:rsidRPr="00576EE5">
              <w:rPr>
                <w:rFonts w:ascii="Calibri" w:eastAsia="Times New Roman" w:hAnsi="Calibri" w:cs="Calibri"/>
                <w:color w:val="000000"/>
              </w:rPr>
              <w:t>4.17143</w:t>
            </w:r>
          </w:p>
        </w:tc>
      </w:tr>
      <w:tr w:rsidR="00DA5305" w:rsidRPr="00576EE5">
        <w:trPr>
          <w:cnfStyle w:val="000000010000"/>
          <w:trHeight w:val="300"/>
        </w:trPr>
        <w:tc>
          <w:tcPr>
            <w:cnfStyle w:val="001000000000"/>
            <w:tcW w:w="4878" w:type="dxa"/>
            <w:noWrap/>
          </w:tcPr>
          <w:p w:rsidR="00DA5305" w:rsidRPr="002F2ED0" w:rsidRDefault="00DA5305" w:rsidP="00DA5305">
            <w:pPr>
              <w:jc w:val="right"/>
              <w:rPr>
                <w:rFonts w:ascii="Calibri" w:eastAsia="Times New Roman" w:hAnsi="Calibri" w:cs="Calibri"/>
                <w:b w:val="0"/>
                <w:color w:val="000000"/>
              </w:rPr>
            </w:pPr>
            <w:r w:rsidRPr="002F2ED0">
              <w:rPr>
                <w:rFonts w:ascii="Calibri" w:eastAsia="Times New Roman" w:hAnsi="Calibri" w:cs="Calibri"/>
                <w:b w:val="0"/>
                <w:color w:val="000000"/>
              </w:rPr>
              <w:t>Urban Influence Code</w:t>
            </w:r>
          </w:p>
        </w:tc>
        <w:tc>
          <w:tcPr>
            <w:tcW w:w="1710" w:type="dxa"/>
          </w:tcPr>
          <w:p w:rsidR="00DA5305" w:rsidRPr="00576EE5" w:rsidRDefault="00DA5305" w:rsidP="00DA5305">
            <w:pPr>
              <w:jc w:val="center"/>
              <w:cnfStyle w:val="000000010000"/>
              <w:rPr>
                <w:rFonts w:ascii="Calibri" w:eastAsia="Times New Roman" w:hAnsi="Calibri" w:cs="Calibri"/>
                <w:color w:val="000000"/>
              </w:rPr>
            </w:pPr>
            <w:r>
              <w:rPr>
                <w:rFonts w:ascii="Calibri" w:eastAsia="Times New Roman" w:hAnsi="Calibri" w:cs="Calibri"/>
                <w:color w:val="000000"/>
              </w:rPr>
              <w:t>2000</w:t>
            </w:r>
          </w:p>
        </w:tc>
        <w:tc>
          <w:tcPr>
            <w:tcW w:w="2988" w:type="dxa"/>
            <w:noWrap/>
          </w:tcPr>
          <w:p w:rsidR="00DA5305" w:rsidRPr="00576EE5" w:rsidRDefault="00DA5305" w:rsidP="00DA5305">
            <w:pPr>
              <w:jc w:val="center"/>
              <w:cnfStyle w:val="000000010000"/>
              <w:rPr>
                <w:rFonts w:ascii="Calibri" w:eastAsia="Times New Roman" w:hAnsi="Calibri" w:cs="Calibri"/>
                <w:color w:val="000000"/>
              </w:rPr>
            </w:pPr>
            <w:r w:rsidRPr="00576EE5">
              <w:rPr>
                <w:rFonts w:ascii="Calibri" w:eastAsia="Times New Roman" w:hAnsi="Calibri" w:cs="Calibri"/>
                <w:color w:val="000000"/>
              </w:rPr>
              <w:t>4.35714</w:t>
            </w:r>
          </w:p>
        </w:tc>
      </w:tr>
    </w:tbl>
    <w:p w:rsidR="00DA5305" w:rsidRPr="00576EE5" w:rsidRDefault="00DA5305" w:rsidP="0014457B">
      <w:pPr>
        <w:widowControl w:val="0"/>
        <w:spacing w:after="0"/>
        <w:ind w:left="720"/>
        <w:rPr>
          <w:rFonts w:cstheme="minorHAnsi"/>
        </w:rPr>
      </w:pPr>
    </w:p>
    <w:p w:rsidR="00576EE5" w:rsidRPr="00DA5305" w:rsidRDefault="00DA5305" w:rsidP="0014457B">
      <w:pPr>
        <w:pStyle w:val="ListParagraph"/>
        <w:widowControl w:val="0"/>
        <w:numPr>
          <w:ilvl w:val="0"/>
          <w:numId w:val="1"/>
        </w:numPr>
        <w:spacing w:after="0"/>
        <w:ind w:left="360" w:hanging="360"/>
        <w:rPr>
          <w:rFonts w:cstheme="minorHAnsi"/>
          <w:b/>
        </w:rPr>
      </w:pPr>
      <w:r w:rsidRPr="007A0F2C">
        <w:rPr>
          <w:rFonts w:cstheme="minorHAnsi"/>
          <w:b/>
        </w:rPr>
        <w:t>Methods</w:t>
      </w:r>
      <w:r>
        <w:rPr>
          <w:rFonts w:cstheme="minorHAnsi"/>
          <w:b/>
        </w:rPr>
        <w:t xml:space="preserve"> (</w:t>
      </w:r>
      <w:r w:rsidR="0014457B" w:rsidRPr="00DA5305">
        <w:rPr>
          <w:rFonts w:cstheme="minorHAnsi"/>
          <w:b/>
        </w:rPr>
        <w:t>Major Steps</w:t>
      </w:r>
      <w:r>
        <w:rPr>
          <w:rFonts w:cstheme="minorHAnsi"/>
          <w:b/>
        </w:rPr>
        <w:t>)</w:t>
      </w:r>
    </w:p>
    <w:p w:rsidR="00340FF5" w:rsidRDefault="00340FF5" w:rsidP="0014457B">
      <w:pPr>
        <w:pStyle w:val="ListParagraph"/>
        <w:widowControl w:val="0"/>
        <w:numPr>
          <w:ilvl w:val="0"/>
          <w:numId w:val="2"/>
        </w:numPr>
        <w:spacing w:after="0"/>
        <w:rPr>
          <w:rFonts w:cstheme="minorHAnsi"/>
        </w:rPr>
      </w:pPr>
      <w:r>
        <w:rPr>
          <w:rFonts w:cstheme="minorHAnsi"/>
        </w:rPr>
        <w:t xml:space="preserve">In </w:t>
      </w:r>
      <w:proofErr w:type="spellStart"/>
      <w:r>
        <w:rPr>
          <w:rFonts w:cstheme="minorHAnsi"/>
        </w:rPr>
        <w:t>ArcGis</w:t>
      </w:r>
      <w:proofErr w:type="spellEnd"/>
      <w:r>
        <w:rPr>
          <w:rFonts w:cstheme="minorHAnsi"/>
        </w:rPr>
        <w:t xml:space="preserve">, create </w:t>
      </w:r>
      <w:proofErr w:type="spellStart"/>
      <w:r>
        <w:rPr>
          <w:rFonts w:cstheme="minorHAnsi"/>
        </w:rPr>
        <w:t>basemap</w:t>
      </w:r>
      <w:proofErr w:type="spellEnd"/>
      <w:r>
        <w:rPr>
          <w:rFonts w:cstheme="minorHAnsi"/>
        </w:rPr>
        <w:t xml:space="preserve"> of national, state, and county boundaries (polygons and lines) and hydrography (Great Lakes, oceans, Gulf of Mexico, etc). </w:t>
      </w:r>
    </w:p>
    <w:p w:rsidR="00316845" w:rsidRDefault="00316845" w:rsidP="00316845">
      <w:pPr>
        <w:pStyle w:val="ListParagraph"/>
        <w:widowControl w:val="0"/>
        <w:numPr>
          <w:ilvl w:val="0"/>
          <w:numId w:val="2"/>
        </w:numPr>
        <w:spacing w:after="0"/>
        <w:rPr>
          <w:rFonts w:cstheme="minorHAnsi"/>
        </w:rPr>
      </w:pPr>
      <w:r>
        <w:rPr>
          <w:rFonts w:cstheme="minorHAnsi"/>
        </w:rPr>
        <w:t>Project current map (and all additional layers) to North</w:t>
      </w:r>
      <w:r w:rsidRPr="00316845">
        <w:t xml:space="preserve"> </w:t>
      </w:r>
      <w:r>
        <w:rPr>
          <w:rFonts w:cstheme="minorHAnsi"/>
        </w:rPr>
        <w:t xml:space="preserve">America Albers Equal Area </w:t>
      </w:r>
      <w:r w:rsidRPr="00316845">
        <w:rPr>
          <w:rFonts w:cstheme="minorHAnsi"/>
        </w:rPr>
        <w:t>Conic</w:t>
      </w:r>
      <w:r>
        <w:rPr>
          <w:rFonts w:cstheme="minorHAnsi"/>
        </w:rPr>
        <w:t xml:space="preserve"> (NAD 1983) projection.</w:t>
      </w:r>
    </w:p>
    <w:p w:rsidR="0014457B" w:rsidRDefault="0014457B" w:rsidP="0014457B">
      <w:pPr>
        <w:pStyle w:val="ListParagraph"/>
        <w:widowControl w:val="0"/>
        <w:numPr>
          <w:ilvl w:val="0"/>
          <w:numId w:val="2"/>
        </w:numPr>
        <w:spacing w:after="0"/>
        <w:rPr>
          <w:rFonts w:cstheme="minorHAnsi"/>
        </w:rPr>
      </w:pPr>
      <w:r>
        <w:rPr>
          <w:rFonts w:cstheme="minorHAnsi"/>
        </w:rPr>
        <w:t>Download spreadsheets from the Food Environment Atlas and the Atlas of Rural and Small Town America</w:t>
      </w:r>
      <w:r w:rsidR="00DA5305">
        <w:rPr>
          <w:rFonts w:cstheme="minorHAnsi"/>
        </w:rPr>
        <w:t>; each product provides all the available data in one excel file</w:t>
      </w:r>
      <w:r>
        <w:rPr>
          <w:rFonts w:cstheme="minorHAnsi"/>
        </w:rPr>
        <w:t>.</w:t>
      </w:r>
    </w:p>
    <w:p w:rsidR="0014457B" w:rsidRDefault="00BB1AEF" w:rsidP="0014457B">
      <w:pPr>
        <w:pStyle w:val="ListParagraph"/>
        <w:widowControl w:val="0"/>
        <w:numPr>
          <w:ilvl w:val="0"/>
          <w:numId w:val="2"/>
        </w:numPr>
        <w:spacing w:after="0"/>
        <w:rPr>
          <w:rFonts w:cstheme="minorHAnsi"/>
        </w:rPr>
      </w:pPr>
      <w:r>
        <w:rPr>
          <w:rFonts w:cstheme="minorHAnsi"/>
        </w:rPr>
        <w:t xml:space="preserve">Remove states </w:t>
      </w:r>
      <w:r w:rsidR="00DA5305">
        <w:rPr>
          <w:rFonts w:cstheme="minorHAnsi"/>
        </w:rPr>
        <w:t xml:space="preserve">(Alaska, Hawaii, Puerto Rico) </w:t>
      </w:r>
      <w:r>
        <w:rPr>
          <w:rFonts w:cstheme="minorHAnsi"/>
        </w:rPr>
        <w:t xml:space="preserve">and variables that are not part of analysis </w:t>
      </w:r>
      <w:r w:rsidR="00DA5305">
        <w:rPr>
          <w:rFonts w:cstheme="minorHAnsi"/>
        </w:rPr>
        <w:t xml:space="preserve">and </w:t>
      </w:r>
      <w:r>
        <w:rPr>
          <w:rFonts w:cstheme="minorHAnsi"/>
        </w:rPr>
        <w:t>c</w:t>
      </w:r>
      <w:r w:rsidR="0014457B">
        <w:rPr>
          <w:rFonts w:cstheme="minorHAnsi"/>
        </w:rPr>
        <w:t xml:space="preserve">reate single </w:t>
      </w:r>
      <w:r w:rsidR="00175755">
        <w:rPr>
          <w:rFonts w:cstheme="minorHAnsi"/>
        </w:rPr>
        <w:t xml:space="preserve">variables </w:t>
      </w:r>
      <w:r w:rsidR="0014457B">
        <w:rPr>
          <w:rFonts w:cstheme="minorHAnsi"/>
        </w:rPr>
        <w:t>spreadsheet with relevant county information and variable fields.</w:t>
      </w:r>
    </w:p>
    <w:p w:rsidR="0014457B" w:rsidRDefault="0014457B" w:rsidP="0014457B">
      <w:pPr>
        <w:pStyle w:val="ListParagraph"/>
        <w:widowControl w:val="0"/>
        <w:numPr>
          <w:ilvl w:val="0"/>
          <w:numId w:val="2"/>
        </w:numPr>
        <w:spacing w:after="0"/>
        <w:rPr>
          <w:rFonts w:cstheme="minorHAnsi"/>
        </w:rPr>
      </w:pPr>
      <w:r>
        <w:rPr>
          <w:rFonts w:cstheme="minorHAnsi"/>
        </w:rPr>
        <w:t>Format</w:t>
      </w:r>
      <w:r w:rsidR="00175755">
        <w:rPr>
          <w:rFonts w:cstheme="minorHAnsi"/>
        </w:rPr>
        <w:t xml:space="preserve"> variables</w:t>
      </w:r>
      <w:r>
        <w:rPr>
          <w:rFonts w:cstheme="minorHAnsi"/>
        </w:rPr>
        <w:t xml:space="preserve"> spreadsheet for use in </w:t>
      </w:r>
      <w:r w:rsidR="00BB1AEF">
        <w:rPr>
          <w:rFonts w:cstheme="minorHAnsi"/>
        </w:rPr>
        <w:t>ArcGIS: this includes modifying field headings, and formatting the county FIPS field to include a leading zero for numbers under 10,000 and be formatted as “double” in ArcGIS. Because ArcGIS sets limits on the amount and type of characters for field headings, I found it useful to have a separate spreadsheet for keeping track of the full variable names and the corresponding field headings.</w:t>
      </w:r>
    </w:p>
    <w:p w:rsidR="008225D9" w:rsidRDefault="008225D9" w:rsidP="0014457B">
      <w:pPr>
        <w:pStyle w:val="ListParagraph"/>
        <w:widowControl w:val="0"/>
        <w:numPr>
          <w:ilvl w:val="0"/>
          <w:numId w:val="2"/>
        </w:numPr>
        <w:spacing w:after="0"/>
        <w:rPr>
          <w:rFonts w:cstheme="minorHAnsi"/>
        </w:rPr>
      </w:pPr>
      <w:r>
        <w:rPr>
          <w:rFonts w:cstheme="minorHAnsi"/>
        </w:rPr>
        <w:t xml:space="preserve">Add the variables spreadsheet to ArcGIS; use the table join tool to join </w:t>
      </w:r>
      <w:r w:rsidR="00B72F4D">
        <w:rPr>
          <w:rFonts w:cstheme="minorHAnsi"/>
        </w:rPr>
        <w:t xml:space="preserve">variables to the county </w:t>
      </w:r>
      <w:proofErr w:type="spellStart"/>
      <w:r w:rsidR="00B72F4D">
        <w:rPr>
          <w:rFonts w:cstheme="minorHAnsi"/>
        </w:rPr>
        <w:t>shapefile</w:t>
      </w:r>
      <w:proofErr w:type="spellEnd"/>
      <w:r w:rsidR="00B72F4D">
        <w:rPr>
          <w:rFonts w:cstheme="minorHAnsi"/>
        </w:rPr>
        <w:t xml:space="preserve"> based on county FIPS codes.</w:t>
      </w:r>
    </w:p>
    <w:p w:rsidR="00175755" w:rsidRDefault="00175755" w:rsidP="0014457B">
      <w:pPr>
        <w:pStyle w:val="ListParagraph"/>
        <w:widowControl w:val="0"/>
        <w:numPr>
          <w:ilvl w:val="0"/>
          <w:numId w:val="2"/>
        </w:numPr>
        <w:spacing w:after="0"/>
        <w:rPr>
          <w:rFonts w:cstheme="minorHAnsi"/>
        </w:rPr>
      </w:pPr>
      <w:r>
        <w:rPr>
          <w:rFonts w:cstheme="minorHAnsi"/>
        </w:rPr>
        <w:t xml:space="preserve">Format food hubs spreadsheet for use in ArcGIS. </w:t>
      </w:r>
    </w:p>
    <w:p w:rsidR="00340FF5" w:rsidRDefault="00340FF5" w:rsidP="0014457B">
      <w:pPr>
        <w:pStyle w:val="ListParagraph"/>
        <w:widowControl w:val="0"/>
        <w:numPr>
          <w:ilvl w:val="0"/>
          <w:numId w:val="2"/>
        </w:numPr>
        <w:spacing w:after="0"/>
        <w:rPr>
          <w:rFonts w:cstheme="minorHAnsi"/>
        </w:rPr>
      </w:pPr>
      <w:r>
        <w:rPr>
          <w:rFonts w:cstheme="minorHAnsi"/>
        </w:rPr>
        <w:t xml:space="preserve">Add food hubs spreadsheet to ArcGIS; geocode addresses and add new layer to </w:t>
      </w:r>
      <w:proofErr w:type="spellStart"/>
      <w:r>
        <w:rPr>
          <w:rFonts w:cstheme="minorHAnsi"/>
        </w:rPr>
        <w:t>basemap</w:t>
      </w:r>
      <w:proofErr w:type="spellEnd"/>
      <w:r>
        <w:rPr>
          <w:rFonts w:cstheme="minorHAnsi"/>
        </w:rPr>
        <w:t xml:space="preserve">. </w:t>
      </w:r>
    </w:p>
    <w:p w:rsidR="00B72F4D" w:rsidRDefault="00340FF5" w:rsidP="0014457B">
      <w:pPr>
        <w:pStyle w:val="ListParagraph"/>
        <w:widowControl w:val="0"/>
        <w:numPr>
          <w:ilvl w:val="0"/>
          <w:numId w:val="2"/>
        </w:numPr>
        <w:spacing w:after="0"/>
        <w:rPr>
          <w:rFonts w:cstheme="minorHAnsi"/>
        </w:rPr>
      </w:pPr>
      <w:r>
        <w:rPr>
          <w:rFonts w:cstheme="minorHAnsi"/>
        </w:rPr>
        <w:t xml:space="preserve">Use the spatial </w:t>
      </w:r>
      <w:r w:rsidR="008225D9">
        <w:rPr>
          <w:rFonts w:cstheme="minorHAnsi"/>
        </w:rPr>
        <w:t xml:space="preserve">join tool to link food hub locations to the counties </w:t>
      </w:r>
      <w:proofErr w:type="spellStart"/>
      <w:r w:rsidR="008225D9">
        <w:rPr>
          <w:rFonts w:cstheme="minorHAnsi"/>
        </w:rPr>
        <w:t>shapefile</w:t>
      </w:r>
      <w:proofErr w:type="spellEnd"/>
      <w:r w:rsidR="00B72F4D">
        <w:rPr>
          <w:rFonts w:cstheme="minorHAnsi"/>
        </w:rPr>
        <w:t xml:space="preserve"> that also includes variable fields</w:t>
      </w:r>
      <w:r w:rsidR="008225D9">
        <w:rPr>
          <w:rFonts w:cstheme="minorHAnsi"/>
        </w:rPr>
        <w:t>.</w:t>
      </w:r>
      <w:r w:rsidR="00B72F4D">
        <w:rPr>
          <w:rFonts w:cstheme="minorHAnsi"/>
        </w:rPr>
        <w:t xml:space="preserve"> This creates a field of a count of food hubs for each county.</w:t>
      </w:r>
    </w:p>
    <w:p w:rsidR="00175755" w:rsidRDefault="00B72F4D" w:rsidP="0014457B">
      <w:pPr>
        <w:pStyle w:val="ListParagraph"/>
        <w:widowControl w:val="0"/>
        <w:numPr>
          <w:ilvl w:val="0"/>
          <w:numId w:val="2"/>
        </w:numPr>
        <w:spacing w:after="0"/>
        <w:rPr>
          <w:rFonts w:cstheme="minorHAnsi"/>
        </w:rPr>
      </w:pPr>
      <w:r>
        <w:rPr>
          <w:rFonts w:cstheme="minorHAnsi"/>
        </w:rPr>
        <w:t xml:space="preserve">In counties </w:t>
      </w:r>
      <w:proofErr w:type="spellStart"/>
      <w:r>
        <w:rPr>
          <w:rFonts w:cstheme="minorHAnsi"/>
        </w:rPr>
        <w:t>shapefile</w:t>
      </w:r>
      <w:proofErr w:type="spellEnd"/>
      <w:r>
        <w:rPr>
          <w:rFonts w:cstheme="minorHAnsi"/>
        </w:rPr>
        <w:t>, select by attribute for counties</w:t>
      </w:r>
      <w:r w:rsidR="008225D9">
        <w:rPr>
          <w:rFonts w:cstheme="minorHAnsi"/>
        </w:rPr>
        <w:t xml:space="preserve"> </w:t>
      </w:r>
      <w:r>
        <w:rPr>
          <w:rFonts w:cstheme="minorHAnsi"/>
        </w:rPr>
        <w:t>with at least one food hub. Create a new layer from the selection.</w:t>
      </w:r>
    </w:p>
    <w:p w:rsidR="00B122E7" w:rsidRDefault="00B122E7" w:rsidP="00B122E7">
      <w:pPr>
        <w:pStyle w:val="ListParagraph"/>
        <w:widowControl w:val="0"/>
        <w:numPr>
          <w:ilvl w:val="1"/>
          <w:numId w:val="2"/>
        </w:numPr>
        <w:spacing w:after="0"/>
        <w:rPr>
          <w:rFonts w:cstheme="minorHAnsi"/>
        </w:rPr>
      </w:pPr>
      <w:r>
        <w:rPr>
          <w:rFonts w:cstheme="minorHAnsi"/>
        </w:rPr>
        <w:t>Create Map 1</w:t>
      </w:r>
      <w:r w:rsidR="00D03322">
        <w:rPr>
          <w:rFonts w:cstheme="minorHAnsi"/>
        </w:rPr>
        <w:t xml:space="preserve">: Food Hub Locations by County. The 140 </w:t>
      </w:r>
      <w:r>
        <w:rPr>
          <w:rFonts w:cstheme="minorHAnsi"/>
        </w:rPr>
        <w:t xml:space="preserve">counties containing one or more food </w:t>
      </w:r>
      <w:r w:rsidR="00D03322">
        <w:rPr>
          <w:rFonts w:cstheme="minorHAnsi"/>
        </w:rPr>
        <w:t>hubs are outlined in thick blue</w:t>
      </w:r>
      <w:r>
        <w:rPr>
          <w:rFonts w:cstheme="minorHAnsi"/>
        </w:rPr>
        <w:t xml:space="preserve"> to differentiat</w:t>
      </w:r>
      <w:r w:rsidR="00D03322">
        <w:rPr>
          <w:rFonts w:cstheme="minorHAnsi"/>
        </w:rPr>
        <w:t xml:space="preserve">e them from other counties. Move the state boundary layer to the second position, below the food hub layer, in order to make those borders clear on the map. </w:t>
      </w:r>
    </w:p>
    <w:p w:rsidR="00B72F4D" w:rsidRDefault="00B72F4D" w:rsidP="0014457B">
      <w:pPr>
        <w:pStyle w:val="ListParagraph"/>
        <w:widowControl w:val="0"/>
        <w:numPr>
          <w:ilvl w:val="0"/>
          <w:numId w:val="2"/>
        </w:numPr>
        <w:spacing w:after="0"/>
        <w:rPr>
          <w:rFonts w:cstheme="minorHAnsi"/>
        </w:rPr>
      </w:pPr>
      <w:r>
        <w:rPr>
          <w:rFonts w:cstheme="minorHAnsi"/>
        </w:rPr>
        <w:t xml:space="preserve">In the Food Hub Counties layer, calculate the mean value for each variable using the statistics tool. Record these values in the variable spreadsheet (separate from ArcGIS). </w:t>
      </w:r>
    </w:p>
    <w:p w:rsidR="00B72F4D" w:rsidRDefault="00B72F4D" w:rsidP="0014457B">
      <w:pPr>
        <w:pStyle w:val="ListParagraph"/>
        <w:widowControl w:val="0"/>
        <w:numPr>
          <w:ilvl w:val="0"/>
          <w:numId w:val="2"/>
        </w:numPr>
        <w:spacing w:after="0"/>
        <w:rPr>
          <w:rFonts w:cstheme="minorHAnsi"/>
        </w:rPr>
      </w:pPr>
      <w:r>
        <w:rPr>
          <w:rFonts w:cstheme="minorHAnsi"/>
        </w:rPr>
        <w:t>In the counties</w:t>
      </w:r>
      <w:r w:rsidR="00316845">
        <w:rPr>
          <w:rFonts w:cstheme="minorHAnsi"/>
        </w:rPr>
        <w:t xml:space="preserve"> &amp; variables</w:t>
      </w:r>
      <w:r>
        <w:rPr>
          <w:rFonts w:cstheme="minorHAnsi"/>
        </w:rPr>
        <w:t xml:space="preserve"> </w:t>
      </w:r>
      <w:proofErr w:type="spellStart"/>
      <w:r>
        <w:rPr>
          <w:rFonts w:cstheme="minorHAnsi"/>
        </w:rPr>
        <w:t>shapefile</w:t>
      </w:r>
      <w:proofErr w:type="spellEnd"/>
      <w:r>
        <w:rPr>
          <w:rFonts w:cstheme="minorHAnsi"/>
        </w:rPr>
        <w:t xml:space="preserve">, create one new field for each variable. To fill a “mean count” field, select by attribute all counties that meet or exceed the Food Hubs mean value for the given variable. Then use the field calculator to set the value of the “mean count” field to 1 for the selected counties. Repeat this for each </w:t>
      </w:r>
      <w:r w:rsidR="00B122E7">
        <w:rPr>
          <w:rFonts w:cstheme="minorHAnsi"/>
        </w:rPr>
        <w:t>new field.</w:t>
      </w:r>
    </w:p>
    <w:p w:rsidR="00B122E7" w:rsidRDefault="00B122E7" w:rsidP="0014457B">
      <w:pPr>
        <w:pStyle w:val="ListParagraph"/>
        <w:widowControl w:val="0"/>
        <w:numPr>
          <w:ilvl w:val="0"/>
          <w:numId w:val="2"/>
        </w:numPr>
        <w:spacing w:after="0"/>
        <w:rPr>
          <w:rFonts w:cstheme="minorHAnsi"/>
        </w:rPr>
      </w:pPr>
      <w:r>
        <w:rPr>
          <w:rFonts w:cstheme="minorHAnsi"/>
        </w:rPr>
        <w:t xml:space="preserve">Create a new field for each of the 4 criteria. Use the field calculator tool to set the value of those fields as equal to the sum of the related variable “mean count” fields. </w:t>
      </w:r>
    </w:p>
    <w:p w:rsidR="00B122E7" w:rsidRDefault="00B122E7" w:rsidP="00B122E7">
      <w:pPr>
        <w:pStyle w:val="ListParagraph"/>
        <w:widowControl w:val="0"/>
        <w:numPr>
          <w:ilvl w:val="1"/>
          <w:numId w:val="2"/>
        </w:numPr>
        <w:spacing w:after="0"/>
        <w:rPr>
          <w:rFonts w:cstheme="minorHAnsi"/>
        </w:rPr>
      </w:pPr>
      <w:r>
        <w:rPr>
          <w:rFonts w:cstheme="minorHAnsi"/>
        </w:rPr>
        <w:t xml:space="preserve">Create Maps 2-5 for the criteria, using color ramps of 0-8, 0-4, and 0-2 points to rank the counties from minimal to maximum similarity to current food hub counties. </w:t>
      </w:r>
    </w:p>
    <w:p w:rsidR="00B122E7" w:rsidRDefault="00B122E7" w:rsidP="0014457B">
      <w:pPr>
        <w:pStyle w:val="ListParagraph"/>
        <w:widowControl w:val="0"/>
        <w:numPr>
          <w:ilvl w:val="0"/>
          <w:numId w:val="2"/>
        </w:numPr>
        <w:spacing w:after="0"/>
        <w:rPr>
          <w:rFonts w:cstheme="minorHAnsi"/>
        </w:rPr>
      </w:pPr>
      <w:r>
        <w:rPr>
          <w:rFonts w:cstheme="minorHAnsi"/>
        </w:rPr>
        <w:t xml:space="preserve">Create a new field for the overall </w:t>
      </w:r>
      <w:r w:rsidR="00316845">
        <w:rPr>
          <w:rFonts w:cstheme="minorHAnsi"/>
        </w:rPr>
        <w:t xml:space="preserve">ranking summary.  Use the field calculator tool to set the value of those fields as equal to the sum of the four criteria sum fields. </w:t>
      </w:r>
    </w:p>
    <w:p w:rsidR="005B52A7" w:rsidRPr="00AD39C0" w:rsidRDefault="00316845" w:rsidP="005B52A7">
      <w:pPr>
        <w:pStyle w:val="ListParagraph"/>
        <w:widowControl w:val="0"/>
        <w:numPr>
          <w:ilvl w:val="1"/>
          <w:numId w:val="2"/>
        </w:numPr>
        <w:spacing w:after="0"/>
        <w:rPr>
          <w:rFonts w:cstheme="minorHAnsi"/>
          <w:b/>
        </w:rPr>
      </w:pPr>
      <w:r w:rsidRPr="005B52A7">
        <w:rPr>
          <w:rFonts w:cstheme="minorHAnsi"/>
        </w:rPr>
        <w:t>Create Map 6: Overall Food Hub Suitability</w:t>
      </w:r>
      <w:r w:rsidR="005B52A7" w:rsidRPr="005B52A7">
        <w:rPr>
          <w:rFonts w:cstheme="minorHAnsi"/>
        </w:rPr>
        <w:t xml:space="preserve">. Though there were 16 variables included, no county had more than 12 points total. </w:t>
      </w:r>
      <w:r w:rsidR="005B52A7">
        <w:rPr>
          <w:rFonts w:cstheme="minorHAnsi"/>
        </w:rPr>
        <w:t xml:space="preserve">Thus, the final map has </w:t>
      </w:r>
      <w:r w:rsidRPr="005B52A7">
        <w:rPr>
          <w:rFonts w:cstheme="minorHAnsi"/>
        </w:rPr>
        <w:t>a color ramp of 0-12 points</w:t>
      </w:r>
      <w:r w:rsidR="005B52A7" w:rsidRPr="005B52A7">
        <w:rPr>
          <w:rFonts w:cstheme="minorHAnsi"/>
        </w:rPr>
        <w:t xml:space="preserve"> and the current food hub counties outlined in thick blue</w:t>
      </w:r>
      <w:r w:rsidR="005B52A7">
        <w:rPr>
          <w:rFonts w:cstheme="minorHAnsi"/>
        </w:rPr>
        <w:t>.</w:t>
      </w:r>
    </w:p>
    <w:p w:rsidR="00AD39C0" w:rsidRPr="00AD39C0" w:rsidRDefault="00AD39C0" w:rsidP="00AD39C0">
      <w:pPr>
        <w:widowControl w:val="0"/>
        <w:spacing w:after="0"/>
        <w:rPr>
          <w:rFonts w:cstheme="minorHAnsi"/>
          <w:b/>
        </w:rPr>
      </w:pPr>
    </w:p>
    <w:p w:rsidR="005B52A7" w:rsidRPr="00AD39C0" w:rsidRDefault="00B47FC1" w:rsidP="00AD39C0">
      <w:pPr>
        <w:pStyle w:val="ListParagraph"/>
        <w:widowControl w:val="0"/>
        <w:numPr>
          <w:ilvl w:val="0"/>
          <w:numId w:val="1"/>
        </w:numPr>
        <w:spacing w:after="0"/>
        <w:ind w:left="360" w:hanging="360"/>
        <w:rPr>
          <w:rFonts w:cstheme="minorHAnsi"/>
          <w:b/>
        </w:rPr>
      </w:pPr>
      <w:r w:rsidRPr="00AD39C0">
        <w:rPr>
          <w:rFonts w:cstheme="minorHAnsi"/>
          <w:b/>
        </w:rPr>
        <w:t xml:space="preserve">Results </w:t>
      </w:r>
      <w:r w:rsidR="005B52A7" w:rsidRPr="00AD39C0">
        <w:rPr>
          <w:rFonts w:cstheme="minorHAnsi"/>
          <w:b/>
        </w:rPr>
        <w:t>Discussion</w:t>
      </w:r>
    </w:p>
    <w:p w:rsidR="005B52A7" w:rsidRPr="005B52A7" w:rsidRDefault="005B52A7" w:rsidP="005B52A7">
      <w:pPr>
        <w:spacing w:after="0"/>
        <w:ind w:firstLine="720"/>
        <w:rPr>
          <w:rFonts w:cstheme="minorHAnsi"/>
        </w:rPr>
      </w:pPr>
      <w:r w:rsidRPr="005B52A7">
        <w:rPr>
          <w:rFonts w:cstheme="minorHAnsi"/>
        </w:rPr>
        <w:t xml:space="preserve">The final map shows that the most suitable counties are found on the coasts, especially in New England and northern California. This makes sense given the strong local food movements in those regions, and the specific variables and criteria used in this analysis. It is important to note that these maps rank counties by their current statistics, but the act of creating a food hub (in addition to other food system development) in a low-ranked county could in and of itself change the statistics and the overall ranking of that county in a later assessment. Likewise, a funder focused on creating opportunities for beginning farmers could target counties in the Great Plains and the Midwest for food hub development, because creating a food hub will increase the opportunities for small- and mid-scale growers and improve the overall economy. Thus, this analysis can be used to inform food hub siting, but the specifics of each variable, and the indicators they serve as proxy for, should be examined in detail before funders and practitioners make any siting decisions. </w:t>
      </w:r>
    </w:p>
    <w:p w:rsidR="005B52A7" w:rsidRDefault="005B52A7" w:rsidP="00576EE5">
      <w:pPr>
        <w:widowControl w:val="0"/>
        <w:spacing w:after="0"/>
        <w:rPr>
          <w:rFonts w:cstheme="minorHAnsi"/>
          <w:b/>
        </w:rPr>
      </w:pPr>
    </w:p>
    <w:p w:rsidR="00576EE5" w:rsidRPr="00AD39C0" w:rsidRDefault="00D03322" w:rsidP="00AD39C0">
      <w:pPr>
        <w:pStyle w:val="ListParagraph"/>
        <w:widowControl w:val="0"/>
        <w:numPr>
          <w:ilvl w:val="0"/>
          <w:numId w:val="1"/>
        </w:numPr>
        <w:spacing w:after="0"/>
        <w:ind w:left="360" w:hanging="360"/>
        <w:rPr>
          <w:rFonts w:cstheme="minorHAnsi"/>
          <w:b/>
        </w:rPr>
      </w:pPr>
      <w:r w:rsidRPr="00AD39C0">
        <w:rPr>
          <w:rFonts w:cstheme="minorHAnsi"/>
          <w:b/>
        </w:rPr>
        <w:t>Challenges</w:t>
      </w:r>
    </w:p>
    <w:p w:rsidR="00D03322" w:rsidRPr="00AB53C0" w:rsidRDefault="00D03322" w:rsidP="00AB53C0">
      <w:pPr>
        <w:pStyle w:val="ListParagraph"/>
        <w:widowControl w:val="0"/>
        <w:numPr>
          <w:ilvl w:val="0"/>
          <w:numId w:val="3"/>
        </w:numPr>
        <w:spacing w:after="0"/>
        <w:rPr>
          <w:rFonts w:cstheme="minorHAnsi"/>
        </w:rPr>
      </w:pPr>
      <w:r w:rsidRPr="00AB53C0">
        <w:rPr>
          <w:rFonts w:cstheme="minorHAnsi"/>
        </w:rPr>
        <w:t>Though all 175 food hubs geocoded cor</w:t>
      </w:r>
      <w:r w:rsidR="00AB53C0" w:rsidRPr="00AB53C0">
        <w:rPr>
          <w:rFonts w:cstheme="minorHAnsi"/>
        </w:rPr>
        <w:t>rectly based on their addresses, and the spatial join was successful,</w:t>
      </w:r>
      <w:r w:rsidRPr="00AB53C0">
        <w:rPr>
          <w:rFonts w:cstheme="minorHAnsi"/>
        </w:rPr>
        <w:t xml:space="preserve"> the count of food hubs that were spatially joined to the counties </w:t>
      </w:r>
      <w:proofErr w:type="spellStart"/>
      <w:r w:rsidRPr="00AB53C0">
        <w:rPr>
          <w:rFonts w:cstheme="minorHAnsi"/>
        </w:rPr>
        <w:t>shapefile</w:t>
      </w:r>
      <w:proofErr w:type="spellEnd"/>
      <w:r w:rsidRPr="00AB53C0">
        <w:rPr>
          <w:rFonts w:cstheme="minorHAnsi"/>
        </w:rPr>
        <w:t xml:space="preserve"> was only 172.  I was unable to find the source of this discrepancy</w:t>
      </w:r>
      <w:r w:rsidR="00AB53C0" w:rsidRPr="00AB53C0">
        <w:rPr>
          <w:rFonts w:cstheme="minorHAnsi"/>
        </w:rPr>
        <w:t>, but I assume a few of the addresses, such as P.O boxes or those in the DC/Virginia area, could not be accurately joined to a county. Because the proportion (1.7%) was so low, I went ahead and did the analysis with 172 food hubs in 140 counties. As I spend more time with this data for my thesis, hopefully I will be able to discover the problem.</w:t>
      </w:r>
    </w:p>
    <w:p w:rsidR="00AB53C0" w:rsidRPr="00AB53C0" w:rsidRDefault="00AB53C0" w:rsidP="00AB53C0">
      <w:pPr>
        <w:pStyle w:val="ListParagraph"/>
        <w:widowControl w:val="0"/>
        <w:numPr>
          <w:ilvl w:val="0"/>
          <w:numId w:val="3"/>
        </w:numPr>
        <w:rPr>
          <w:rFonts w:cstheme="minorHAnsi"/>
        </w:rPr>
      </w:pPr>
      <w:r w:rsidRPr="00AB53C0">
        <w:rPr>
          <w:rFonts w:cstheme="minorHAnsi"/>
        </w:rPr>
        <w:t xml:space="preserve">Creating long (8 and 12 unit) color ramps that would be easily distinguishable on the poster maps was difficult. </w:t>
      </w:r>
      <w:r>
        <w:t xml:space="preserve">I found </w:t>
      </w:r>
      <w:hyperlink r:id="rId10" w:history="1">
        <w:r w:rsidRPr="000B7CF5">
          <w:rPr>
            <w:rStyle w:val="Hyperlink"/>
          </w:rPr>
          <w:t>http://www.perbang.dk/rgbgradient/</w:t>
        </w:r>
      </w:hyperlink>
      <w:r>
        <w:t xml:space="preserve"> to be a useful resource for creating color ramps that were more aesthetically pleasing than the ones generated in ArcGIS. The online tool allows you to set the beginning and end colors and the number of steps in the ramp. It then provides the hex # and </w:t>
      </w:r>
      <w:proofErr w:type="spellStart"/>
      <w:r>
        <w:t>rgb</w:t>
      </w:r>
      <w:proofErr w:type="spellEnd"/>
      <w:r>
        <w:t xml:space="preserve"> values for each color for you to set in ArcGIS.</w:t>
      </w:r>
    </w:p>
    <w:p w:rsidR="00AB53C0" w:rsidRPr="00AB53C0" w:rsidRDefault="00AB53C0" w:rsidP="00AB53C0">
      <w:pPr>
        <w:pStyle w:val="ListParagraph"/>
        <w:widowControl w:val="0"/>
        <w:numPr>
          <w:ilvl w:val="0"/>
          <w:numId w:val="3"/>
        </w:numPr>
        <w:spacing w:after="0"/>
        <w:rPr>
          <w:rFonts w:cstheme="minorHAnsi"/>
        </w:rPr>
      </w:pPr>
      <w:r w:rsidRPr="00AB53C0">
        <w:rPr>
          <w:rFonts w:cstheme="minorHAnsi"/>
        </w:rPr>
        <w:t xml:space="preserve">Working with large attribute tables in ArcGIS is </w:t>
      </w:r>
      <w:r>
        <w:rPr>
          <w:rFonts w:cstheme="minorHAnsi"/>
        </w:rPr>
        <w:t xml:space="preserve">complicated! This was exacerbated by the strict rules about column names, and the presence of many fields of census data that came with the county </w:t>
      </w:r>
      <w:proofErr w:type="spellStart"/>
      <w:r>
        <w:rPr>
          <w:rFonts w:cstheme="minorHAnsi"/>
        </w:rPr>
        <w:t>shapefile</w:t>
      </w:r>
      <w:proofErr w:type="spellEnd"/>
      <w:r>
        <w:rPr>
          <w:rFonts w:cstheme="minorHAnsi"/>
        </w:rPr>
        <w:t xml:space="preserve"> but were not needed for my analysis. I did find it useful to spend time formatting one spreadsheet with all the variables before adding anything to ArcGIS, but this made for a large table in the end. Having the separate spreadsheet to keep track of field names was helpful for accurate calculations in the final steps. </w:t>
      </w:r>
    </w:p>
    <w:p w:rsidR="00AD39C0" w:rsidRDefault="00AD39C0" w:rsidP="00AD39C0">
      <w:pPr>
        <w:widowControl w:val="0"/>
        <w:spacing w:after="0"/>
        <w:rPr>
          <w:rFonts w:cstheme="minorHAnsi"/>
          <w:b/>
        </w:rPr>
      </w:pPr>
    </w:p>
    <w:p w:rsidR="00B47FC1" w:rsidRPr="00AD39C0" w:rsidRDefault="00AD39C0" w:rsidP="00AD39C0">
      <w:pPr>
        <w:pStyle w:val="ListParagraph"/>
        <w:widowControl w:val="0"/>
        <w:numPr>
          <w:ilvl w:val="0"/>
          <w:numId w:val="1"/>
        </w:numPr>
        <w:ind w:left="360" w:hanging="360"/>
        <w:rPr>
          <w:rFonts w:cstheme="minorHAnsi"/>
          <w:b/>
        </w:rPr>
      </w:pPr>
      <w:r w:rsidRPr="00AD39C0">
        <w:rPr>
          <w:rFonts w:cstheme="minorHAnsi"/>
          <w:b/>
        </w:rPr>
        <w:t>M</w:t>
      </w:r>
      <w:r w:rsidR="00B47FC1" w:rsidRPr="00AD39C0">
        <w:rPr>
          <w:rFonts w:cstheme="minorHAnsi"/>
          <w:b/>
        </w:rPr>
        <w:t>ethods Discussion</w:t>
      </w:r>
    </w:p>
    <w:p w:rsidR="00C86D68" w:rsidRDefault="00C86D68" w:rsidP="00576EE5">
      <w:pPr>
        <w:widowControl w:val="0"/>
        <w:rPr>
          <w:rFonts w:cstheme="minorHAnsi"/>
        </w:rPr>
      </w:pPr>
      <w:r>
        <w:rPr>
          <w:rFonts w:cstheme="minorHAnsi"/>
        </w:rPr>
        <w:t xml:space="preserve">As an exercise in GIS tools and understanding the </w:t>
      </w:r>
      <w:r w:rsidR="00E37E4B">
        <w:rPr>
          <w:rFonts w:cstheme="minorHAnsi"/>
        </w:rPr>
        <w:t>available data</w:t>
      </w:r>
      <w:r>
        <w:rPr>
          <w:rFonts w:cstheme="minorHAnsi"/>
        </w:rPr>
        <w:t xml:space="preserve"> on food hubs and various agricultural, economic, and demographic statistics, this project was very useful to me. I’m not sure, however, that it would be helpful in the real world, beyond an initial modeling or visioning </w:t>
      </w:r>
      <w:r w:rsidR="00E37E4B">
        <w:rPr>
          <w:rFonts w:cstheme="minorHAnsi"/>
        </w:rPr>
        <w:t>process</w:t>
      </w:r>
      <w:r>
        <w:rPr>
          <w:rFonts w:cstheme="minorHAnsi"/>
        </w:rPr>
        <w:t xml:space="preserve">. Obviously starting a food hub and choosing its location, as with any business, requires very specific data at a much smaller level than the county. </w:t>
      </w:r>
      <w:r w:rsidR="00E37E4B">
        <w:rPr>
          <w:rFonts w:cstheme="minorHAnsi"/>
        </w:rPr>
        <w:t xml:space="preserve">Also, as I noted in my results discussion, practitioners could interpret the results to support their mission to bring food hubs to low-ranked counties, in an effort to increase the county’s opportunities for beginning farmers and improve the local food system. Others could interpret the final </w:t>
      </w:r>
      <w:r w:rsidR="00AD39C0">
        <w:rPr>
          <w:rFonts w:cstheme="minorHAnsi"/>
        </w:rPr>
        <w:t>results</w:t>
      </w:r>
      <w:r w:rsidR="00E37E4B">
        <w:rPr>
          <w:rFonts w:cstheme="minorHAnsi"/>
        </w:rPr>
        <w:t xml:space="preserve"> to mean t</w:t>
      </w:r>
      <w:r w:rsidR="00AD39C0">
        <w:rPr>
          <w:rFonts w:cstheme="minorHAnsi"/>
        </w:rPr>
        <w:t xml:space="preserve">hey should focus their food system </w:t>
      </w:r>
      <w:r w:rsidR="00E37E4B">
        <w:rPr>
          <w:rFonts w:cstheme="minorHAnsi"/>
        </w:rPr>
        <w:t>development efforts on the highest-ranked counties</w:t>
      </w:r>
      <w:r w:rsidR="00AD39C0">
        <w:rPr>
          <w:rFonts w:cstheme="minorHAnsi"/>
        </w:rPr>
        <w:t xml:space="preserve"> that do not currently have food hubs, as they are likely to be the best sites for new food hubs. </w:t>
      </w:r>
      <w:r w:rsidR="00E37E4B">
        <w:rPr>
          <w:rFonts w:cstheme="minorHAnsi"/>
        </w:rPr>
        <w:t>As it stands,</w:t>
      </w:r>
      <w:r w:rsidR="00AD39C0">
        <w:rPr>
          <w:rFonts w:cstheme="minorHAnsi"/>
        </w:rPr>
        <w:t xml:space="preserve"> I think</w:t>
      </w:r>
      <w:r w:rsidR="00E37E4B">
        <w:rPr>
          <w:rFonts w:cstheme="minorHAnsi"/>
        </w:rPr>
        <w:t xml:space="preserve"> the most effective way to use this analysis would be to combine my work with Lucy’s (after updating her list of food hubs and any variables that have changed), to create a more nuanced set of metrics for evaluation</w:t>
      </w:r>
      <w:r w:rsidR="00AD39C0">
        <w:rPr>
          <w:rFonts w:cstheme="minorHAnsi"/>
        </w:rPr>
        <w:t>, and to use the results to start conversations about the state of food system development and food system infrastructure across the country</w:t>
      </w:r>
      <w:r w:rsidR="00E37E4B">
        <w:rPr>
          <w:rFonts w:cstheme="minorHAnsi"/>
        </w:rPr>
        <w:t xml:space="preserve">. </w:t>
      </w:r>
    </w:p>
    <w:p w:rsidR="00C86D68" w:rsidRDefault="00C86D68" w:rsidP="00576EE5">
      <w:pPr>
        <w:widowControl w:val="0"/>
        <w:rPr>
          <w:rFonts w:cstheme="minorHAnsi"/>
        </w:rPr>
      </w:pPr>
      <w:r>
        <w:rPr>
          <w:rFonts w:cstheme="minorHAnsi"/>
        </w:rPr>
        <w:t xml:space="preserve">A more accurate name for this analysis might be “food hub location similarity,” rather than food hub location suitability, as it ranks counties by the number of variables for which they have the same or higher values than the food hub county mean. This technique includes many underlying assumptions about the ability of the individual variables to serve as indicators of the criteria, and about the success and viability of the current food hubs I used as benchmarks. It may be that the food hubs are prevalent in certain areas such as those with high population density and strong demand for locally produced foods but that those food hubs are not as successful and financially viable as ones that happen to be in areas with lower density and weaker markets. </w:t>
      </w:r>
      <w:r w:rsidR="00E37E4B">
        <w:rPr>
          <w:rFonts w:cstheme="minorHAnsi"/>
        </w:rPr>
        <w:t xml:space="preserve">It would be fascinating to see how the maps might change if they were also ranked according to the size and success of the food hubs currently operating in each county. Unfortunately that data was not available for this project, and may not exist at all. If I can work those questions into my thesis research, I’ll see if I can make new maps for my thesis and/or create a new dataset for someone to use in a future GIS project.  </w:t>
      </w:r>
    </w:p>
    <w:p w:rsidR="00C86D68" w:rsidRDefault="00E37E4B" w:rsidP="00576EE5">
      <w:pPr>
        <w:widowControl w:val="0"/>
        <w:rPr>
          <w:rFonts w:cstheme="minorHAnsi"/>
        </w:rPr>
      </w:pPr>
      <w:r>
        <w:rPr>
          <w:rFonts w:cstheme="minorHAnsi"/>
        </w:rPr>
        <w:t xml:space="preserve">One other aspect of the data that gets lost in this analysis is the relative effect of each variable and any possible interaction effects between variables. This could be addressed with a logistic regression analysis for each criteria map, i.e. </w:t>
      </w:r>
      <w:proofErr w:type="spellStart"/>
      <w:proofErr w:type="gramStart"/>
      <w:r>
        <w:rPr>
          <w:rFonts w:cstheme="minorHAnsi"/>
        </w:rPr>
        <w:t>LogOdds</w:t>
      </w:r>
      <w:proofErr w:type="spellEnd"/>
      <w:r>
        <w:rPr>
          <w:rFonts w:cstheme="minorHAnsi"/>
        </w:rPr>
        <w:t>(</w:t>
      </w:r>
      <w:proofErr w:type="gramEnd"/>
      <w:r>
        <w:rPr>
          <w:rFonts w:cstheme="minorHAnsi"/>
        </w:rPr>
        <w:t xml:space="preserve">Having a Food Hub) = B0 + B1(unemployment rate) + B2(percent beginning farmers) + B3(unemployment*beginning farmers). Although I know how to write the equation for such an analysis, actually running those analyses in </w:t>
      </w:r>
      <w:proofErr w:type="spellStart"/>
      <w:r>
        <w:rPr>
          <w:rFonts w:cstheme="minorHAnsi"/>
        </w:rPr>
        <w:t>stata</w:t>
      </w:r>
      <w:proofErr w:type="spellEnd"/>
      <w:r>
        <w:rPr>
          <w:rFonts w:cstheme="minorHAnsi"/>
        </w:rPr>
        <w:t xml:space="preserve"> and incorporating the results into my mapping was beyond my capacity for this project. </w:t>
      </w:r>
    </w:p>
    <w:p w:rsidR="00DA5305" w:rsidRPr="00AD39C0" w:rsidRDefault="00DA5305" w:rsidP="00AD39C0">
      <w:pPr>
        <w:pStyle w:val="ListParagraph"/>
        <w:numPr>
          <w:ilvl w:val="0"/>
          <w:numId w:val="1"/>
        </w:numPr>
        <w:spacing w:after="0" w:line="240" w:lineRule="auto"/>
        <w:ind w:left="540" w:hanging="540"/>
        <w:rPr>
          <w:b/>
        </w:rPr>
      </w:pPr>
      <w:r w:rsidRPr="00AD39C0">
        <w:rPr>
          <w:b/>
        </w:rPr>
        <w:t>Annotated Examples</w:t>
      </w:r>
    </w:p>
    <w:p w:rsidR="00DA5305" w:rsidRPr="00680E54" w:rsidRDefault="00DA5305" w:rsidP="00DA5305">
      <w:pPr>
        <w:spacing w:after="0" w:line="240" w:lineRule="auto"/>
      </w:pPr>
    </w:p>
    <w:p w:rsidR="00DA5305" w:rsidRPr="00680E54" w:rsidRDefault="00DA5305" w:rsidP="00DA5305">
      <w:pPr>
        <w:widowControl w:val="0"/>
        <w:autoSpaceDE w:val="0"/>
        <w:autoSpaceDN w:val="0"/>
        <w:adjustRightInd w:val="0"/>
        <w:spacing w:after="0" w:line="240" w:lineRule="auto"/>
      </w:pPr>
      <w:r w:rsidRPr="00680E54">
        <w:rPr>
          <w:rFonts w:cs="Times New Roman"/>
          <w:color w:val="000000"/>
          <w:szCs w:val="18"/>
        </w:rPr>
        <w:t xml:space="preserve">1. Sharp, Jeff S., Doug Jackson-Smith, and Leah Smith. 2011. “Agricultural economic development at the rural-urban interface: Community organization, policy, and agricultural change.” </w:t>
      </w:r>
      <w:r w:rsidRPr="00680E54">
        <w:rPr>
          <w:rFonts w:cs="Times New Roman"/>
          <w:i/>
          <w:color w:val="000000"/>
          <w:szCs w:val="18"/>
        </w:rPr>
        <w:t>Journal of Agriculture, Food Systems, and Community Development,</w:t>
      </w:r>
      <w:r w:rsidRPr="00680E54">
        <w:rPr>
          <w:rFonts w:cs="Times New Roman"/>
          <w:color w:val="000000"/>
          <w:szCs w:val="18"/>
        </w:rPr>
        <w:t xml:space="preserve"> 1(4): 189–204.</w:t>
      </w:r>
      <w:r>
        <w:rPr>
          <w:rFonts w:cs="Times New Roman"/>
          <w:color w:val="000000"/>
          <w:szCs w:val="18"/>
        </w:rPr>
        <w:t xml:space="preserve"> </w:t>
      </w:r>
      <w:hyperlink r:id="rId11" w:history="1">
        <w:r w:rsidRPr="00680E54">
          <w:rPr>
            <w:rStyle w:val="Hyperlink"/>
            <w:rFonts w:cs="Times New Roman"/>
            <w:szCs w:val="18"/>
          </w:rPr>
          <w:t>http://dx.doi.org/10.5304/jafscd.2011.014.002</w:t>
        </w:r>
      </w:hyperlink>
    </w:p>
    <w:p w:rsidR="00DA5305" w:rsidRPr="00680E54" w:rsidRDefault="00DA5305" w:rsidP="00DA5305">
      <w:pPr>
        <w:widowControl w:val="0"/>
        <w:autoSpaceDE w:val="0"/>
        <w:autoSpaceDN w:val="0"/>
        <w:adjustRightInd w:val="0"/>
        <w:spacing w:after="0" w:line="240" w:lineRule="auto"/>
      </w:pPr>
    </w:p>
    <w:p w:rsidR="00DA5305" w:rsidRDefault="00DA5305" w:rsidP="00DA5305">
      <w:pPr>
        <w:widowControl w:val="0"/>
        <w:autoSpaceDE w:val="0"/>
        <w:autoSpaceDN w:val="0"/>
        <w:adjustRightInd w:val="0"/>
        <w:spacing w:after="0" w:line="240" w:lineRule="auto"/>
        <w:ind w:firstLine="720"/>
        <w:rPr>
          <w:rFonts w:cs="Times New Roman"/>
          <w:szCs w:val="14"/>
        </w:rPr>
      </w:pPr>
      <w:r w:rsidRPr="00680E54">
        <w:t>Sh</w:t>
      </w:r>
      <w:r w:rsidR="00B47FC1">
        <w:t>arp et al.</w:t>
      </w:r>
      <w:r w:rsidRPr="00680E54">
        <w:t xml:space="preserve"> used data from a key informant survey to </w:t>
      </w:r>
      <w:r w:rsidRPr="00680E54">
        <w:rPr>
          <w:rFonts w:cs="Times New Roman"/>
          <w:szCs w:val="14"/>
        </w:rPr>
        <w:t xml:space="preserve">“explore the relationships among community organizational capacity, development policies and programs, and changes in local agriculture” (190). They use statistical analysis tools to determine whether the level of organizational development around food systems is related to the amount of food systems activity and level of optimism about agriculture in each county. Though their research questions do not address types of markets, they do work within the context of county type. The geographical focus of the study was the counties located at the Rural-Urban Interface (RUI) that are considered agriculturally important. They justify this focus by noting that “almost half of all U.S direct sales of farm products to consumers in 2007 occurred in counties that were both agriculturally important and at the RUI” (193). I will keep their findings in mind as I look for trends and patterns in </w:t>
      </w:r>
      <w:r>
        <w:rPr>
          <w:rFonts w:cs="Times New Roman"/>
          <w:szCs w:val="14"/>
        </w:rPr>
        <w:t>based on population density and county type.</w:t>
      </w:r>
    </w:p>
    <w:p w:rsidR="00DA5305" w:rsidRDefault="00DA5305" w:rsidP="00DA5305">
      <w:pPr>
        <w:widowControl w:val="0"/>
        <w:autoSpaceDE w:val="0"/>
        <w:autoSpaceDN w:val="0"/>
        <w:adjustRightInd w:val="0"/>
        <w:spacing w:after="0" w:line="240" w:lineRule="auto"/>
        <w:rPr>
          <w:rFonts w:cs="Times New Roman"/>
          <w:szCs w:val="14"/>
        </w:rPr>
      </w:pPr>
    </w:p>
    <w:p w:rsidR="00DA5305" w:rsidRPr="00680E54" w:rsidRDefault="00DA5305" w:rsidP="00DA5305">
      <w:pPr>
        <w:widowControl w:val="0"/>
        <w:autoSpaceDE w:val="0"/>
        <w:autoSpaceDN w:val="0"/>
        <w:adjustRightInd w:val="0"/>
        <w:spacing w:after="0" w:line="240" w:lineRule="auto"/>
        <w:rPr>
          <w:rFonts w:cs="Times New Roman"/>
          <w:szCs w:val="14"/>
        </w:rPr>
      </w:pPr>
      <w:r w:rsidRPr="00680E54">
        <w:t xml:space="preserve">2. Martinez, Steve, Michael Hand, Michelle Da </w:t>
      </w:r>
      <w:proofErr w:type="spellStart"/>
      <w:r w:rsidRPr="00680E54">
        <w:t>Pra</w:t>
      </w:r>
      <w:proofErr w:type="spellEnd"/>
      <w:r w:rsidRPr="00680E54">
        <w:t>, Susan Pollack, Katherine Ralston, Travis Smith, Stephen Vogel, et al. 2010</w:t>
      </w:r>
      <w:r w:rsidRPr="00680E54">
        <w:rPr>
          <w:i/>
          <w:iCs/>
        </w:rPr>
        <w:t>. Local Food Systems: Concepts, Impacts, and Issues</w:t>
      </w:r>
      <w:r w:rsidR="00B47FC1">
        <w:t xml:space="preserve">. Washington, DC: Economic Research Service, </w:t>
      </w:r>
      <w:r w:rsidRPr="00680E54">
        <w:t>U.S. Department of Agriculture</w:t>
      </w:r>
      <w:r w:rsidR="00B47FC1">
        <w:t xml:space="preserve">. Accessed November 15, 2011. </w:t>
      </w:r>
      <w:r w:rsidR="000107FB">
        <w:fldChar w:fldCharType="begin"/>
      </w:r>
      <w:r w:rsidR="000107FB">
        <w:instrText>HYPERLINK "http://ers.usda.gov/Publications/ERR97/" \t "_blank"</w:instrText>
      </w:r>
      <w:r w:rsidR="000107FB">
        <w:fldChar w:fldCharType="separate"/>
      </w:r>
      <w:r w:rsidRPr="00680E54">
        <w:rPr>
          <w:rStyle w:val="Hyperlink"/>
        </w:rPr>
        <w:t>http://ers.usda.gov/Publications/ERR97/</w:t>
      </w:r>
      <w:r w:rsidR="000107FB">
        <w:fldChar w:fldCharType="end"/>
      </w:r>
      <w:r w:rsidRPr="00680E54">
        <w:t xml:space="preserve">. </w:t>
      </w:r>
    </w:p>
    <w:p w:rsidR="00DA5305" w:rsidRDefault="00DA5305" w:rsidP="00DA5305">
      <w:pPr>
        <w:spacing w:after="0" w:line="240" w:lineRule="auto"/>
      </w:pPr>
    </w:p>
    <w:p w:rsidR="00DA5305" w:rsidRDefault="00DA5305" w:rsidP="00DA5305">
      <w:pPr>
        <w:spacing w:after="0" w:line="240" w:lineRule="auto"/>
        <w:ind w:firstLine="720"/>
      </w:pPr>
      <w:r>
        <w:t xml:space="preserve">Martinez et </w:t>
      </w:r>
      <w:r w:rsidR="00B47FC1">
        <w:t xml:space="preserve">al. </w:t>
      </w:r>
      <w:r>
        <w:t xml:space="preserve">cover many issues related to local food systems. As it is an Economic Research Report, the authors use many types of data from the USDA’s many agencies to present a detailed picture of local food systems as they currently exist. They provide a narrative analysis (and some corresponding tables) that relate to the type of analysis I </w:t>
      </w:r>
      <w:r w:rsidR="00B47FC1">
        <w:t>am interested in</w:t>
      </w:r>
      <w:r>
        <w:t xml:space="preserve">. For example, they report </w:t>
      </w:r>
      <w:r w:rsidRPr="00680E54">
        <w:rPr>
          <w:rFonts w:ascii="Calibri" w:hAnsi="Calibri"/>
        </w:rPr>
        <w:t>that “</w:t>
      </w:r>
      <w:r w:rsidRPr="00680E54">
        <w:rPr>
          <w:rFonts w:ascii="Calibri" w:hAnsi="Calibri" w:cs="Times New Roman"/>
        </w:rPr>
        <w:t>Access to urban markets is crucial to farms engaged in direct sales. There were 71,400 direct-sales farms located in metro counties, and 44,100 were located in rural counties adjacent to metro counties (table 7). Together, these farms accounted for 84 percent of all farms engaged in direct sales” (18)</w:t>
      </w:r>
      <w:r>
        <w:rPr>
          <w:rFonts w:ascii="Calibri" w:hAnsi="Calibri" w:cs="Times New Roman"/>
        </w:rPr>
        <w:t>. The report does include some maps of data like the value of direct sales to consumers by county, but does not visually relate that</w:t>
      </w:r>
      <w:r w:rsidR="00B47FC1">
        <w:rPr>
          <w:rFonts w:ascii="Calibri" w:hAnsi="Calibri" w:cs="Times New Roman"/>
        </w:rPr>
        <w:t xml:space="preserve"> information to type of county. This research focuses on analyzing the direct-sales markets, and provides context for future research on farm-to-institution and other forms of intermediated sales that would likely involve food hubs.  </w:t>
      </w:r>
    </w:p>
    <w:p w:rsidR="00DA5305" w:rsidRDefault="00DA5305" w:rsidP="00DA5305">
      <w:pPr>
        <w:spacing w:after="0" w:line="240" w:lineRule="auto"/>
      </w:pPr>
    </w:p>
    <w:p w:rsidR="00DA5305" w:rsidRPr="0058602D" w:rsidRDefault="00DA5305" w:rsidP="00DA5305">
      <w:pPr>
        <w:spacing w:after="0" w:line="240" w:lineRule="auto"/>
      </w:pPr>
      <w:r w:rsidRPr="0058602D">
        <w:t>3. “Progressive Agriculture Rankings</w:t>
      </w:r>
      <w:r>
        <w:t xml:space="preserve">. </w:t>
      </w:r>
      <w:r w:rsidRPr="0058602D">
        <w:t>”</w:t>
      </w:r>
      <w:r>
        <w:t xml:space="preserve"> </w:t>
      </w:r>
      <w:proofErr w:type="gramStart"/>
      <w:r w:rsidRPr="00616918">
        <w:rPr>
          <w:i/>
        </w:rPr>
        <w:t>Journal of Agriculture, Food Systems, and Community Development.</w:t>
      </w:r>
      <w:proofErr w:type="gramEnd"/>
      <w:r>
        <w:t xml:space="preserve"> </w:t>
      </w:r>
      <w:r w:rsidR="00616918">
        <w:t xml:space="preserve">Accessed March 30, 2012. </w:t>
      </w:r>
      <w:r w:rsidRPr="0058602D">
        <w:t>http://www.agdevonline.com/index.php?option=com_content&amp;view=article&amp;id=101:progressive-agriculture-ranking-details&amp;catid=44</w:t>
      </w:r>
      <w:r w:rsidR="00327AEC">
        <w:t>.</w:t>
      </w:r>
    </w:p>
    <w:p w:rsidR="00DA5305" w:rsidRPr="0058602D" w:rsidRDefault="00DA5305" w:rsidP="00DA5305">
      <w:pPr>
        <w:spacing w:after="0" w:line="240" w:lineRule="auto"/>
      </w:pPr>
    </w:p>
    <w:p w:rsidR="00DA5305" w:rsidRDefault="00DA5305" w:rsidP="00DA5305">
      <w:pPr>
        <w:spacing w:after="0" w:line="240" w:lineRule="auto"/>
      </w:pPr>
      <w:r>
        <w:t>The “Progressive Agriculture Ranking” system is a tool provided by the Journal of Agriculture, Food Systems, and Community Development (JAFSCD).  It uses a set of six criteria related to conservation, farm energy Generation, Value-Added Ag, farms with CSAs, female farmers, and organic acreage to rank the states according to their score for each criteria, and an overall national ranking. Though it is administered at the state level, this tool uses many of the same data points (CSAs, Value-Added Ag</w:t>
      </w:r>
      <w:r w:rsidR="00B47FC1">
        <w:t>, Urban Influence Code</w:t>
      </w:r>
      <w:r>
        <w:t xml:space="preserve">) that I </w:t>
      </w:r>
      <w:r w:rsidR="00B47FC1">
        <w:t>used</w:t>
      </w:r>
      <w:r>
        <w:t xml:space="preserve"> for my project. </w:t>
      </w:r>
    </w:p>
    <w:p w:rsidR="00DA5305" w:rsidRDefault="00DA5305" w:rsidP="00DA5305">
      <w:pPr>
        <w:spacing w:after="0" w:line="240" w:lineRule="auto"/>
      </w:pPr>
    </w:p>
    <w:p w:rsidR="00DA5305" w:rsidRPr="00F706D2" w:rsidRDefault="00DA5305" w:rsidP="00DA5305">
      <w:pPr>
        <w:spacing w:after="0" w:line="240" w:lineRule="auto"/>
      </w:pPr>
      <w:r w:rsidRPr="00616918">
        <w:t xml:space="preserve">4. </w:t>
      </w:r>
      <w:proofErr w:type="spellStart"/>
      <w:r w:rsidRPr="00616918">
        <w:rPr>
          <w:rStyle w:val="Strong"/>
          <w:b w:val="0"/>
        </w:rPr>
        <w:t>Kuethe</w:t>
      </w:r>
      <w:proofErr w:type="spellEnd"/>
      <w:r w:rsidRPr="00616918">
        <w:rPr>
          <w:rStyle w:val="Strong"/>
          <w:b w:val="0"/>
        </w:rPr>
        <w:t>, T.</w:t>
      </w:r>
      <w:r w:rsidRPr="00616918">
        <w:rPr>
          <w:b/>
        </w:rPr>
        <w:t xml:space="preserve">, </w:t>
      </w:r>
      <w:r w:rsidRPr="00616918">
        <w:rPr>
          <w:rStyle w:val="Strong"/>
          <w:b w:val="0"/>
        </w:rPr>
        <w:t xml:space="preserve">J. </w:t>
      </w:r>
      <w:proofErr w:type="spellStart"/>
      <w:r w:rsidRPr="00616918">
        <w:rPr>
          <w:rStyle w:val="Strong"/>
          <w:b w:val="0"/>
        </w:rPr>
        <w:t>Ifft</w:t>
      </w:r>
      <w:proofErr w:type="spellEnd"/>
      <w:r w:rsidRPr="00616918">
        <w:rPr>
          <w:b/>
        </w:rPr>
        <w:t>,</w:t>
      </w:r>
      <w:r w:rsidRPr="00616918">
        <w:t xml:space="preserve"> and </w:t>
      </w:r>
      <w:r w:rsidRPr="00616918">
        <w:rPr>
          <w:rStyle w:val="Strong"/>
          <w:b w:val="0"/>
        </w:rPr>
        <w:t xml:space="preserve">M. </w:t>
      </w:r>
      <w:proofErr w:type="spellStart"/>
      <w:r w:rsidRPr="00616918">
        <w:rPr>
          <w:rStyle w:val="Strong"/>
          <w:b w:val="0"/>
        </w:rPr>
        <w:t>Morehart</w:t>
      </w:r>
      <w:proofErr w:type="spellEnd"/>
      <w:r w:rsidRPr="00616918">
        <w:rPr>
          <w:b/>
        </w:rPr>
        <w:t xml:space="preserve">. </w:t>
      </w:r>
      <w:r w:rsidR="00B47FC1" w:rsidRPr="00616918">
        <w:t xml:space="preserve">2011. </w:t>
      </w:r>
      <w:r w:rsidRPr="00616918">
        <w:t>"The</w:t>
      </w:r>
      <w:r>
        <w:t xml:space="preserve"> Influence of Urban Areas on Farmland Values," </w:t>
      </w:r>
      <w:r>
        <w:rPr>
          <w:rStyle w:val="Emphasis"/>
        </w:rPr>
        <w:t>Choices</w:t>
      </w:r>
      <w:r w:rsidR="00B47FC1">
        <w:t xml:space="preserve"> 26(2): </w:t>
      </w:r>
      <w:r>
        <w:t>7 pp.</w:t>
      </w:r>
      <w:r w:rsidR="00B47FC1">
        <w:t xml:space="preserve"> Accessed March 30, 2012. </w:t>
      </w:r>
      <w:r w:rsidRPr="00F706D2">
        <w:t>http://www.choicesmagazine.org/choices-magazine/theme-articles/farmland-values/the-influence-of-urban-areas-on-farmland-values</w:t>
      </w:r>
      <w:r w:rsidR="00B47FC1">
        <w:t>.</w:t>
      </w:r>
    </w:p>
    <w:p w:rsidR="00DA5305" w:rsidRDefault="00DA5305" w:rsidP="00DA5305">
      <w:pPr>
        <w:spacing w:after="0" w:line="240" w:lineRule="auto"/>
        <w:rPr>
          <w:b/>
        </w:rPr>
      </w:pPr>
    </w:p>
    <w:p w:rsidR="00DA5305" w:rsidRDefault="00DA5305" w:rsidP="00DA5305">
      <w:pPr>
        <w:spacing w:after="0" w:line="240" w:lineRule="auto"/>
        <w:ind w:firstLine="720"/>
      </w:pPr>
      <w:proofErr w:type="spellStart"/>
      <w:r>
        <w:t>Kuethe</w:t>
      </w:r>
      <w:proofErr w:type="spellEnd"/>
      <w:r>
        <w:t xml:space="preserve"> et al use the </w:t>
      </w:r>
      <w:r w:rsidRPr="00362521">
        <w:t>Population Interaction Zones for Agriculture (PIZA)</w:t>
      </w:r>
      <w:r>
        <w:t xml:space="preserve"> developed by the Economic Research Service (ERS) to differentiate between “rural” and “urban-influenced” regions. After gathering descriptive statistics about the average land values in the two types of regions, they did further statistical analysis to determine what portion of the value was “directly attributable to agricultural use” (2). The analysis yielded a ratio of estimated market value to implied agricultural use value; the researchers then used that data to create heat maps of the change in the ratio over time. They move from this analysis into a more in-depth study of specific metro regions. This report provides another example of the ways in which county or regional qualities can be used to assess and analyze agricultural data. </w:t>
      </w:r>
    </w:p>
    <w:p w:rsidR="00576EE5" w:rsidRDefault="00576EE5" w:rsidP="00576EE5">
      <w:pPr>
        <w:spacing w:after="0" w:line="240" w:lineRule="auto"/>
        <w:rPr>
          <w:rFonts w:cstheme="minorHAnsi"/>
        </w:rPr>
      </w:pPr>
    </w:p>
    <w:p w:rsidR="00DA5305" w:rsidRDefault="00B47FC1" w:rsidP="00576EE5">
      <w:pPr>
        <w:spacing w:after="0" w:line="240" w:lineRule="auto"/>
        <w:rPr>
          <w:rFonts w:cstheme="minorHAnsi"/>
        </w:rPr>
      </w:pPr>
      <w:r>
        <w:rPr>
          <w:rFonts w:cstheme="minorHAnsi"/>
        </w:rPr>
        <w:t xml:space="preserve">5. Myles, Lucy. 2011. </w:t>
      </w:r>
      <w:r>
        <w:rPr>
          <w:rFonts w:cstheme="minorHAnsi"/>
          <w:i/>
        </w:rPr>
        <w:t>Regional Food Hub Geographic Suitability Analysis.</w:t>
      </w:r>
      <w:r>
        <w:rPr>
          <w:rFonts w:cstheme="minorHAnsi"/>
        </w:rPr>
        <w:t xml:space="preserve"> Medford, MA: Intro to GIS, UEP Department, Tufts University. </w:t>
      </w:r>
      <w:r w:rsidR="00AB53C0">
        <w:rPr>
          <w:rFonts w:cstheme="minorHAnsi"/>
        </w:rPr>
        <w:t xml:space="preserve">Accessed February 28, 2012. </w:t>
      </w:r>
      <w:hyperlink r:id="rId12" w:history="1">
        <w:r w:rsidR="00AB53C0" w:rsidRPr="000B7CF5">
          <w:rPr>
            <w:rStyle w:val="Hyperlink"/>
            <w:rFonts w:cstheme="minorHAnsi"/>
          </w:rPr>
          <w:t>https://wikis.uit.tufts.edu/confluence/display/IntroductiontoGISforUrbanandEnvironmentalAnalysis/Myles+Assignments</w:t>
        </w:r>
      </w:hyperlink>
      <w:r w:rsidR="00AB53C0">
        <w:rPr>
          <w:rFonts w:cstheme="minorHAnsi"/>
        </w:rPr>
        <w:t xml:space="preserve">. </w:t>
      </w:r>
    </w:p>
    <w:p w:rsidR="00B47FC1" w:rsidRDefault="00B47FC1" w:rsidP="00576EE5">
      <w:pPr>
        <w:spacing w:after="0" w:line="240" w:lineRule="auto"/>
        <w:rPr>
          <w:rFonts w:cstheme="minorHAnsi"/>
        </w:rPr>
      </w:pPr>
    </w:p>
    <w:p w:rsidR="00B47FC1" w:rsidRDefault="00B47FC1" w:rsidP="00576EE5">
      <w:pPr>
        <w:spacing w:after="0" w:line="240" w:lineRule="auto"/>
        <w:rPr>
          <w:rFonts w:cstheme="minorHAnsi"/>
        </w:rPr>
      </w:pPr>
      <w:r>
        <w:rPr>
          <w:rFonts w:cstheme="minorHAnsi"/>
        </w:rPr>
        <w:tab/>
        <w:t>I owe a significant debt to Lucy, as her research methods provi</w:t>
      </w:r>
      <w:r w:rsidR="00616918">
        <w:rPr>
          <w:rFonts w:cstheme="minorHAnsi"/>
        </w:rPr>
        <w:t xml:space="preserve">ded the base of my project. Her work gave mine some sense of context and progress (the number of food hubs and food hub counties has grown significantly in just a year), and shows just how many variables can be considered when it comes to the suitability of various locations for food hubs and food system infrastructure. </w:t>
      </w:r>
    </w:p>
    <w:p w:rsidR="00616918" w:rsidRDefault="00616918" w:rsidP="00576EE5">
      <w:pPr>
        <w:spacing w:after="0" w:line="240" w:lineRule="auto"/>
        <w:rPr>
          <w:rFonts w:cstheme="minorHAnsi"/>
        </w:rPr>
      </w:pPr>
    </w:p>
    <w:p w:rsidR="00616918" w:rsidRDefault="00616918" w:rsidP="00576EE5">
      <w:pPr>
        <w:spacing w:after="0" w:line="240" w:lineRule="auto"/>
        <w:rPr>
          <w:rFonts w:cstheme="minorHAnsi"/>
        </w:rPr>
      </w:pPr>
      <w:r>
        <w:rPr>
          <w:rFonts w:cstheme="minorHAnsi"/>
        </w:rPr>
        <w:t xml:space="preserve">6. </w:t>
      </w:r>
      <w:r w:rsidRPr="00616918">
        <w:rPr>
          <w:rFonts w:cstheme="minorHAnsi"/>
        </w:rPr>
        <w:t xml:space="preserve">FamilyFarmed.org, IL Dept. of Commerce and Economic Opportunity, University of Illinois Business Innovation Services, and IL Dept. of Agriculture. 2012. </w:t>
      </w:r>
      <w:r w:rsidRPr="00616918">
        <w:rPr>
          <w:rFonts w:cstheme="minorHAnsi"/>
          <w:i/>
        </w:rPr>
        <w:t>Building Successful Food Hubs: A Business Planning Guide for Aggregating and Processing Local Food in Illinois.</w:t>
      </w:r>
      <w:r w:rsidRPr="00616918">
        <w:rPr>
          <w:rFonts w:cstheme="minorHAnsi"/>
        </w:rPr>
        <w:t xml:space="preserve"> Oak Park, IL: FamilyFarmed.org. Accessed January 27, 2012. </w:t>
      </w:r>
    </w:p>
    <w:p w:rsidR="00616918" w:rsidRDefault="000107FB" w:rsidP="00576EE5">
      <w:pPr>
        <w:spacing w:after="0" w:line="240" w:lineRule="auto"/>
        <w:rPr>
          <w:rFonts w:cstheme="minorHAnsi"/>
        </w:rPr>
      </w:pPr>
      <w:hyperlink r:id="rId13" w:history="1">
        <w:r w:rsidR="00616918" w:rsidRPr="000B7CF5">
          <w:rPr>
            <w:rStyle w:val="Hyperlink"/>
            <w:rFonts w:cstheme="minorHAnsi"/>
          </w:rPr>
          <w:t>http://www.familyfarmed.org/wp-content/uploads/2012/01/IllinoisFoodHubGuide-final.pdf</w:t>
        </w:r>
      </w:hyperlink>
      <w:r w:rsidR="00616918" w:rsidRPr="00616918">
        <w:rPr>
          <w:rFonts w:cstheme="minorHAnsi"/>
        </w:rPr>
        <w:t xml:space="preserve">. </w:t>
      </w:r>
    </w:p>
    <w:p w:rsidR="00616918" w:rsidRDefault="00616918" w:rsidP="00576EE5">
      <w:pPr>
        <w:spacing w:after="0" w:line="240" w:lineRule="auto"/>
        <w:rPr>
          <w:rFonts w:cstheme="minorHAnsi"/>
        </w:rPr>
      </w:pPr>
      <w:r>
        <w:rPr>
          <w:rFonts w:cstheme="minorHAnsi"/>
        </w:rPr>
        <w:tab/>
      </w:r>
    </w:p>
    <w:p w:rsidR="00576EE5" w:rsidRPr="00576EE5" w:rsidRDefault="00616918" w:rsidP="00AD39C0">
      <w:pPr>
        <w:spacing w:after="0" w:line="240" w:lineRule="auto"/>
        <w:ind w:firstLine="720"/>
        <w:rPr>
          <w:rFonts w:cstheme="minorHAnsi"/>
        </w:rPr>
      </w:pPr>
      <w:r w:rsidRPr="00616918">
        <w:rPr>
          <w:rFonts w:cstheme="minorHAnsi"/>
        </w:rPr>
        <w:t xml:space="preserve">This report has a wealth of information about the services food hubs provide, how they operate, and best practices for starting a food hub. Because the report was written for an audience of practitioners at the state level, the best practices they provide are fairly specific, and focus on criteria that are generally not map-able such as entrepreneurial investigation, a strong stakeholder network, a pool of management candidates. However they do note that appropriate locations for a food hub will have evidence of </w:t>
      </w:r>
      <w:r w:rsidRPr="00616918">
        <w:rPr>
          <w:rFonts w:cstheme="minorHAnsi"/>
          <w:color w:val="141413"/>
        </w:rPr>
        <w:t xml:space="preserve">strong commercial demand for locally-produced goods and the presence of large groups of suppliers and buyers. The data for those criteria are available and suitable for spatial analysis; I included them in the market demand and current food production analyses. </w:t>
      </w:r>
      <w:bookmarkStart w:id="0" w:name="_GoBack"/>
      <w:bookmarkEnd w:id="0"/>
    </w:p>
    <w:sectPr w:rsidR="00576EE5" w:rsidRPr="00576EE5" w:rsidSect="000107FB">
      <w:footerReference w:type="default" r:id="rId14"/>
      <w:pgSz w:w="12240" w:h="15840"/>
      <w:pgMar w:top="1440" w:right="1440" w:bottom="1440" w:left="1440" w:gutter="0"/>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37E4B" w:rsidRDefault="00E37E4B" w:rsidP="00C620A3">
      <w:pPr>
        <w:spacing w:after="0" w:line="240" w:lineRule="auto"/>
      </w:pPr>
      <w:r>
        <w:separator/>
      </w:r>
    </w:p>
  </w:endnote>
  <w:endnote w:type="continuationSeparator" w:id="0">
    <w:p w:rsidR="00E37E4B" w:rsidRDefault="00E37E4B" w:rsidP="00C620A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00000000" w:usb2="00010000" w:usb3="00000000" w:csb0="80000000"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libri">
    <w:panose1 w:val="020F050202020403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E4B" w:rsidRDefault="00E37E4B">
    <w:pPr>
      <w:pStyle w:val="Footer"/>
    </w:pPr>
    <w:r>
      <w:t>Hamilton</w:t>
    </w:r>
    <w:r>
      <w:tab/>
    </w:r>
    <w:r>
      <w:tab/>
    </w:r>
    <w:fldSimple w:instr=" PAGE   \* MERGEFORMAT ">
      <w:r w:rsidR="000C22D7">
        <w:rPr>
          <w:noProof/>
        </w:rPr>
        <w:t>6</w:t>
      </w:r>
    </w:fldSimple>
    <w:r>
      <w:rPr>
        <w:noProof/>
      </w:rPr>
      <w:tab/>
    </w: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37E4B" w:rsidRDefault="00E37E4B" w:rsidP="00C620A3">
      <w:pPr>
        <w:spacing w:after="0" w:line="240" w:lineRule="auto"/>
      </w:pPr>
      <w:r>
        <w:separator/>
      </w:r>
    </w:p>
  </w:footnote>
  <w:footnote w:type="continuationSeparator" w:id="0">
    <w:p w:rsidR="00E37E4B" w:rsidRDefault="00E37E4B" w:rsidP="00C620A3">
      <w:pPr>
        <w:spacing w:after="0" w:line="240" w:lineRule="auto"/>
      </w:pPr>
      <w:r>
        <w:continuationSeparator/>
      </w:r>
    </w:p>
  </w:footnote>
  <w:footnote w:id="1">
    <w:p w:rsidR="00E37E4B" w:rsidRPr="00D046F0" w:rsidRDefault="00E37E4B" w:rsidP="00D046F0">
      <w:pPr>
        <w:widowControl w:val="0"/>
        <w:spacing w:after="0"/>
        <w:rPr>
          <w:rFonts w:cstheme="minorHAnsi"/>
          <w:sz w:val="20"/>
          <w:szCs w:val="20"/>
        </w:rPr>
      </w:pPr>
      <w:r w:rsidRPr="00D046F0">
        <w:rPr>
          <w:rStyle w:val="FootnoteReference"/>
          <w:sz w:val="20"/>
          <w:szCs w:val="20"/>
        </w:rPr>
        <w:footnoteRef/>
      </w:r>
      <w:r w:rsidRPr="00D046F0">
        <w:rPr>
          <w:sz w:val="20"/>
          <w:szCs w:val="20"/>
        </w:rPr>
        <w:t xml:space="preserve"> </w:t>
      </w:r>
      <w:r w:rsidRPr="00D046F0">
        <w:rPr>
          <w:rFonts w:cstheme="minorHAnsi"/>
          <w:sz w:val="20"/>
          <w:szCs w:val="20"/>
        </w:rPr>
        <w:t xml:space="preserve">Kaufman, Jerome L. 2004. “Introduction.” </w:t>
      </w:r>
      <w:r w:rsidRPr="00D046F0">
        <w:rPr>
          <w:rFonts w:cstheme="minorHAnsi"/>
          <w:i/>
          <w:iCs/>
          <w:sz w:val="20"/>
          <w:szCs w:val="20"/>
        </w:rPr>
        <w:t xml:space="preserve">Journal of Planning Education and Research </w:t>
      </w:r>
      <w:r>
        <w:rPr>
          <w:rFonts w:cstheme="minorHAnsi"/>
          <w:sz w:val="20"/>
          <w:szCs w:val="20"/>
        </w:rPr>
        <w:t xml:space="preserve">23(4): 335-340. </w:t>
      </w:r>
    </w:p>
  </w:footnote>
  <w:footnote w:id="2">
    <w:p w:rsidR="00E37E4B" w:rsidRDefault="00E37E4B">
      <w:pPr>
        <w:pStyle w:val="FootnoteText"/>
      </w:pPr>
      <w:r>
        <w:rPr>
          <w:rStyle w:val="FootnoteReference"/>
        </w:rPr>
        <w:footnoteRef/>
      </w:r>
      <w:r>
        <w:t xml:space="preserve"> </w:t>
      </w:r>
      <w:r w:rsidRPr="00D046F0">
        <w:t xml:space="preserve">WCWI (Wallace Center at </w:t>
      </w:r>
      <w:proofErr w:type="spellStart"/>
      <w:r w:rsidRPr="00D046F0">
        <w:t>Winrock</w:t>
      </w:r>
      <w:proofErr w:type="spellEnd"/>
      <w:r w:rsidRPr="00D046F0">
        <w:t xml:space="preserve"> International). 2012. “What is a Food Hub?” </w:t>
      </w:r>
      <w:proofErr w:type="gramStart"/>
      <w:r w:rsidRPr="00D046F0">
        <w:t>Food Hub Collaboration.</w:t>
      </w:r>
      <w:proofErr w:type="gramEnd"/>
      <w:r w:rsidRPr="00D046F0">
        <w:t xml:space="preserve"> Accessed April 10, 2012. http://wallacecenter.org/ our-work/current-initiatives/food-hub-collaboration.</w:t>
      </w:r>
    </w:p>
  </w:footnote>
</w:footnote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2D553B"/>
    <w:multiLevelType w:val="hybridMultilevel"/>
    <w:tmpl w:val="3E7C718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1642D57"/>
    <w:multiLevelType w:val="hybridMultilevel"/>
    <w:tmpl w:val="29BC8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4060838"/>
    <w:multiLevelType w:val="hybridMultilevel"/>
    <w:tmpl w:val="E806EB3A"/>
    <w:lvl w:ilvl="0" w:tplc="9900306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20"/>
  <w:characterSpacingControl w:val="doNotCompress"/>
  <w:footnotePr>
    <w:footnote w:id="-1"/>
    <w:footnote w:id="0"/>
  </w:footnotePr>
  <w:endnotePr>
    <w:endnote w:id="-1"/>
    <w:endnote w:id="0"/>
  </w:endnotePr>
  <w:compat/>
  <w:rsids>
    <w:rsidRoot w:val="00C620A3"/>
    <w:rsid w:val="000107FB"/>
    <w:rsid w:val="000C22D7"/>
    <w:rsid w:val="0014457B"/>
    <w:rsid w:val="00175755"/>
    <w:rsid w:val="001F6F53"/>
    <w:rsid w:val="002926D6"/>
    <w:rsid w:val="002F2ED0"/>
    <w:rsid w:val="0031260D"/>
    <w:rsid w:val="00316845"/>
    <w:rsid w:val="00327AEC"/>
    <w:rsid w:val="00340FF5"/>
    <w:rsid w:val="003672CB"/>
    <w:rsid w:val="00576EE5"/>
    <w:rsid w:val="005B52A7"/>
    <w:rsid w:val="00616918"/>
    <w:rsid w:val="006B5640"/>
    <w:rsid w:val="007A0F2C"/>
    <w:rsid w:val="008225D9"/>
    <w:rsid w:val="00AB53C0"/>
    <w:rsid w:val="00AD39C0"/>
    <w:rsid w:val="00B122E7"/>
    <w:rsid w:val="00B47FC1"/>
    <w:rsid w:val="00B660CB"/>
    <w:rsid w:val="00B72F4D"/>
    <w:rsid w:val="00BB1AEF"/>
    <w:rsid w:val="00BC5173"/>
    <w:rsid w:val="00C620A3"/>
    <w:rsid w:val="00C86D68"/>
    <w:rsid w:val="00D02B33"/>
    <w:rsid w:val="00D03322"/>
    <w:rsid w:val="00D046F0"/>
    <w:rsid w:val="00DA5305"/>
    <w:rsid w:val="00E043F0"/>
    <w:rsid w:val="00E37E4B"/>
  </w:rsids>
  <m:mathPr>
    <m:mathFont m:val="Abadi MT Condensed Light"/>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07FB"/>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Header">
    <w:name w:val="header"/>
    <w:basedOn w:val="Normal"/>
    <w:link w:val="HeaderChar"/>
    <w:uiPriority w:val="99"/>
    <w:unhideWhenUsed/>
    <w:rsid w:val="00C620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20A3"/>
  </w:style>
  <w:style w:type="paragraph" w:styleId="Footer">
    <w:name w:val="footer"/>
    <w:basedOn w:val="Normal"/>
    <w:link w:val="FooterChar"/>
    <w:uiPriority w:val="99"/>
    <w:unhideWhenUsed/>
    <w:rsid w:val="00C620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20A3"/>
  </w:style>
  <w:style w:type="table" w:styleId="LightShading">
    <w:name w:val="Light Shading"/>
    <w:basedOn w:val="TableNormal"/>
    <w:uiPriority w:val="60"/>
    <w:rsid w:val="00576EE5"/>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576EE5"/>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ableGrid">
    <w:name w:val="Table Grid"/>
    <w:basedOn w:val="TableNormal"/>
    <w:uiPriority w:val="59"/>
    <w:rsid w:val="00576E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List-Accent1">
    <w:name w:val="Light List Accent 1"/>
    <w:basedOn w:val="TableNormal"/>
    <w:uiPriority w:val="61"/>
    <w:rsid w:val="00576EE5"/>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Grid-Accent1">
    <w:name w:val="Light Grid Accent 1"/>
    <w:basedOn w:val="TableNormal"/>
    <w:uiPriority w:val="62"/>
    <w:rsid w:val="00576EE5"/>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nhideWhenUsed/>
    <w:rsid w:val="002926D6"/>
    <w:rPr>
      <w:color w:val="0000FF" w:themeColor="hyperlink"/>
      <w:u w:val="single"/>
    </w:rPr>
  </w:style>
  <w:style w:type="paragraph" w:styleId="ListParagraph">
    <w:name w:val="List Paragraph"/>
    <w:basedOn w:val="Normal"/>
    <w:uiPriority w:val="34"/>
    <w:qFormat/>
    <w:rsid w:val="007A0F2C"/>
    <w:pPr>
      <w:ind w:left="720"/>
      <w:contextualSpacing/>
    </w:pPr>
  </w:style>
  <w:style w:type="character" w:styleId="Strong">
    <w:name w:val="Strong"/>
    <w:basedOn w:val="DefaultParagraphFont"/>
    <w:uiPriority w:val="22"/>
    <w:rsid w:val="00DA5305"/>
    <w:rPr>
      <w:b/>
    </w:rPr>
  </w:style>
  <w:style w:type="character" w:styleId="Emphasis">
    <w:name w:val="Emphasis"/>
    <w:basedOn w:val="DefaultParagraphFont"/>
    <w:uiPriority w:val="20"/>
    <w:rsid w:val="00DA5305"/>
    <w:rPr>
      <w:i/>
    </w:rPr>
  </w:style>
  <w:style w:type="paragraph" w:styleId="FootnoteText">
    <w:name w:val="footnote text"/>
    <w:basedOn w:val="Normal"/>
    <w:link w:val="FootnoteTextChar"/>
    <w:uiPriority w:val="99"/>
    <w:semiHidden/>
    <w:unhideWhenUsed/>
    <w:rsid w:val="0031260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1260D"/>
    <w:rPr>
      <w:sz w:val="20"/>
      <w:szCs w:val="20"/>
    </w:rPr>
  </w:style>
  <w:style w:type="character" w:styleId="FootnoteReference">
    <w:name w:val="footnote reference"/>
    <w:basedOn w:val="DefaultParagraphFont"/>
    <w:uiPriority w:val="99"/>
    <w:semiHidden/>
    <w:unhideWhenUsed/>
    <w:rsid w:val="0031260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20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20A3"/>
  </w:style>
  <w:style w:type="paragraph" w:styleId="Footer">
    <w:name w:val="footer"/>
    <w:basedOn w:val="Normal"/>
    <w:link w:val="FooterChar"/>
    <w:uiPriority w:val="99"/>
    <w:unhideWhenUsed/>
    <w:rsid w:val="00C620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20A3"/>
  </w:style>
  <w:style w:type="table" w:styleId="LightShading">
    <w:name w:val="Light Shading"/>
    <w:basedOn w:val="TableNormal"/>
    <w:uiPriority w:val="60"/>
    <w:rsid w:val="00576EE5"/>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576EE5"/>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ableGrid">
    <w:name w:val="Table Grid"/>
    <w:basedOn w:val="TableNormal"/>
    <w:uiPriority w:val="59"/>
    <w:rsid w:val="00576E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List-Accent1">
    <w:name w:val="Light List Accent 1"/>
    <w:basedOn w:val="TableNormal"/>
    <w:uiPriority w:val="61"/>
    <w:rsid w:val="00576EE5"/>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Grid-Accent1">
    <w:name w:val="Light Grid Accent 1"/>
    <w:basedOn w:val="TableNormal"/>
    <w:uiPriority w:val="62"/>
    <w:rsid w:val="00576EE5"/>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nhideWhenUsed/>
    <w:rsid w:val="002926D6"/>
    <w:rPr>
      <w:color w:val="0000FF" w:themeColor="hyperlink"/>
      <w:u w:val="single"/>
    </w:rPr>
  </w:style>
  <w:style w:type="paragraph" w:styleId="ListParagraph">
    <w:name w:val="List Paragraph"/>
    <w:basedOn w:val="Normal"/>
    <w:uiPriority w:val="34"/>
    <w:qFormat/>
    <w:rsid w:val="007A0F2C"/>
    <w:pPr>
      <w:ind w:left="720"/>
      <w:contextualSpacing/>
    </w:pPr>
  </w:style>
  <w:style w:type="character" w:styleId="Strong">
    <w:name w:val="Strong"/>
    <w:basedOn w:val="DefaultParagraphFont"/>
    <w:uiPriority w:val="22"/>
    <w:rsid w:val="00DA5305"/>
    <w:rPr>
      <w:b/>
    </w:rPr>
  </w:style>
  <w:style w:type="character" w:styleId="Emphasis">
    <w:name w:val="Emphasis"/>
    <w:basedOn w:val="DefaultParagraphFont"/>
    <w:uiPriority w:val="20"/>
    <w:rsid w:val="00DA5305"/>
    <w:rPr>
      <w:i/>
    </w:rPr>
  </w:style>
  <w:style w:type="paragraph" w:styleId="FootnoteText">
    <w:name w:val="footnote text"/>
    <w:basedOn w:val="Normal"/>
    <w:link w:val="FootnoteTextChar"/>
    <w:uiPriority w:val="99"/>
    <w:semiHidden/>
    <w:unhideWhenUsed/>
    <w:rsid w:val="0031260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1260D"/>
    <w:rPr>
      <w:sz w:val="20"/>
      <w:szCs w:val="20"/>
    </w:rPr>
  </w:style>
  <w:style w:type="character" w:styleId="FootnoteReference">
    <w:name w:val="footnote reference"/>
    <w:basedOn w:val="DefaultParagraphFont"/>
    <w:uiPriority w:val="99"/>
    <w:semiHidden/>
    <w:unhideWhenUsed/>
    <w:rsid w:val="0031260D"/>
    <w:rPr>
      <w:vertAlign w:val="superscript"/>
    </w:rPr>
  </w:style>
</w:styles>
</file>

<file path=word/webSettings.xml><?xml version="1.0" encoding="utf-8"?>
<w:webSettings xmlns:r="http://schemas.openxmlformats.org/officeDocument/2006/relationships" xmlns:w="http://schemas.openxmlformats.org/wordprocessingml/2006/main">
  <w:divs>
    <w:div w:id="374240210">
      <w:bodyDiv w:val="1"/>
      <w:marLeft w:val="0"/>
      <w:marRight w:val="0"/>
      <w:marTop w:val="0"/>
      <w:marBottom w:val="0"/>
      <w:divBdr>
        <w:top w:val="none" w:sz="0" w:space="0" w:color="auto"/>
        <w:left w:val="none" w:sz="0" w:space="0" w:color="auto"/>
        <w:bottom w:val="none" w:sz="0" w:space="0" w:color="auto"/>
        <w:right w:val="none" w:sz="0" w:space="0" w:color="auto"/>
      </w:divBdr>
    </w:div>
    <w:div w:id="497580764">
      <w:bodyDiv w:val="1"/>
      <w:marLeft w:val="0"/>
      <w:marRight w:val="0"/>
      <w:marTop w:val="0"/>
      <w:marBottom w:val="0"/>
      <w:divBdr>
        <w:top w:val="none" w:sz="0" w:space="0" w:color="auto"/>
        <w:left w:val="none" w:sz="0" w:space="0" w:color="auto"/>
        <w:bottom w:val="none" w:sz="0" w:space="0" w:color="auto"/>
        <w:right w:val="none" w:sz="0" w:space="0" w:color="auto"/>
      </w:divBdr>
    </w:div>
    <w:div w:id="737361028">
      <w:bodyDiv w:val="1"/>
      <w:marLeft w:val="0"/>
      <w:marRight w:val="0"/>
      <w:marTop w:val="0"/>
      <w:marBottom w:val="0"/>
      <w:divBdr>
        <w:top w:val="none" w:sz="0" w:space="0" w:color="auto"/>
        <w:left w:val="none" w:sz="0" w:space="0" w:color="auto"/>
        <w:bottom w:val="none" w:sz="0" w:space="0" w:color="auto"/>
        <w:right w:val="none" w:sz="0" w:space="0" w:color="auto"/>
      </w:divBdr>
    </w:div>
    <w:div w:id="769811989">
      <w:bodyDiv w:val="1"/>
      <w:marLeft w:val="0"/>
      <w:marRight w:val="0"/>
      <w:marTop w:val="0"/>
      <w:marBottom w:val="0"/>
      <w:divBdr>
        <w:top w:val="none" w:sz="0" w:space="0" w:color="auto"/>
        <w:left w:val="none" w:sz="0" w:space="0" w:color="auto"/>
        <w:bottom w:val="none" w:sz="0" w:space="0" w:color="auto"/>
        <w:right w:val="none" w:sz="0" w:space="0" w:color="auto"/>
      </w:divBdr>
    </w:div>
    <w:div w:id="781149909">
      <w:bodyDiv w:val="1"/>
      <w:marLeft w:val="0"/>
      <w:marRight w:val="0"/>
      <w:marTop w:val="0"/>
      <w:marBottom w:val="0"/>
      <w:divBdr>
        <w:top w:val="none" w:sz="0" w:space="0" w:color="auto"/>
        <w:left w:val="none" w:sz="0" w:space="0" w:color="auto"/>
        <w:bottom w:val="none" w:sz="0" w:space="0" w:color="auto"/>
        <w:right w:val="none" w:sz="0" w:space="0" w:color="auto"/>
      </w:divBdr>
    </w:div>
    <w:div w:id="2139176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dx.doi.org/10.5304/jafscd.2011.014.002" TargetMode="External"/><Relationship Id="rId12" Type="http://schemas.openxmlformats.org/officeDocument/2006/relationships/hyperlink" Target="https://wikis.uit.tufts.edu/confluence/display/IntroductiontoGISforUrbanandEnvironmentalAnalysis/Myles+Assignments" TargetMode="External"/><Relationship Id="rId13" Type="http://schemas.openxmlformats.org/officeDocument/2006/relationships/hyperlink" Target="http://www.familyfarmed.org/wp-content/uploads/2012/01/IllinoisFoodHubGuide-final.pdf" TargetMode="External"/><Relationship Id="rId14" Type="http://schemas.openxmlformats.org/officeDocument/2006/relationships/footer" Target="footer1.xml"/><Relationship Id="rId15" Type="http://schemas.openxmlformats.org/officeDocument/2006/relationships/fontTable" Target="fontTable.xml"/><Relationship Id="rId16" Type="http://schemas.openxmlformats.org/officeDocument/2006/relationships/theme" Target="theme/theme1.xml"/><Relationship Id="rId17" Type="http://schemas.microsoft.com/office/2007/relationships/stylesWithEffects" Target="stylesWithEffects.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ers.usda.gov/foodatlas/" TargetMode="External"/><Relationship Id="rId9" Type="http://schemas.openxmlformats.org/officeDocument/2006/relationships/hyperlink" Target="http://www.ers.usda.gov/data/ruralatlas/" TargetMode="External"/><Relationship Id="rId10" Type="http://schemas.openxmlformats.org/officeDocument/2006/relationships/hyperlink" Target="http://www.perbang.dk/rgbgradi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9D815719-7703-FA40-ABC9-5E00EB3B11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3263</Words>
  <Characters>18603</Characters>
  <Application>Microsoft Macintosh Word</Application>
  <DocSecurity>0</DocSecurity>
  <Lines>155</Lines>
  <Paragraphs>37</Paragraphs>
  <ScaleCrop>false</ScaleCrop>
  <HeadingPairs>
    <vt:vector size="2" baseType="variant">
      <vt:variant>
        <vt:lpstr>Title</vt:lpstr>
      </vt:variant>
      <vt:variant>
        <vt:i4>1</vt:i4>
      </vt:variant>
    </vt:vector>
  </HeadingPairs>
  <TitlesOfParts>
    <vt:vector size="1" baseType="lpstr">
      <vt:lpstr/>
    </vt:vector>
  </TitlesOfParts>
  <Company>Tufts University</Company>
  <LinksUpToDate>false</LinksUpToDate>
  <CharactersWithSpaces>22845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GIS Center</dc:creator>
  <cp:lastModifiedBy>Joanna Hamilton</cp:lastModifiedBy>
  <cp:revision>2</cp:revision>
  <dcterms:created xsi:type="dcterms:W3CDTF">2012-07-26T21:25:00Z</dcterms:created>
  <dcterms:modified xsi:type="dcterms:W3CDTF">2012-07-26T21:25:00Z</dcterms:modified>
</cp:coreProperties>
</file>